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8A5" w:rsidRPr="002974FF" w:rsidRDefault="00FB18A5">
      <w:pPr>
        <w:jc w:val="center"/>
      </w:pPr>
      <w:r w:rsidRPr="002974FF">
        <w:t>DISCLAIMER</w:t>
      </w:r>
    </w:p>
    <w:p w:rsidR="00FB18A5" w:rsidRPr="002974FF" w:rsidRDefault="00FB18A5"/>
    <w:p w:rsidR="00FB18A5" w:rsidRDefault="00FB18A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B18A5" w:rsidRDefault="00FB18A5" w:rsidP="00D86E37"/>
    <w:p w:rsidR="00FB18A5" w:rsidRDefault="00FB18A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18A5" w:rsidRDefault="00FB18A5" w:rsidP="00D86E37"/>
    <w:p w:rsidR="00FB18A5" w:rsidRDefault="00FB18A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18A5" w:rsidRDefault="00FB18A5" w:rsidP="00D86E37"/>
    <w:p w:rsidR="00FB18A5" w:rsidRDefault="00FB18A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B18A5" w:rsidRDefault="00FB18A5">
      <w:pPr>
        <w:widowControl/>
        <w:tabs>
          <w:tab w:val="clear" w:pos="720"/>
        </w:tabs>
      </w:pPr>
      <w:r>
        <w:br w:type="page"/>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B62F3">
        <w:t>CHAPTER 66</w:t>
      </w:r>
    </w:p>
    <w:p w:rsidR="00DB62F3" w:rsidRP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62F3">
        <w:t>School Safety Coordinators</w:t>
      </w:r>
    </w:p>
    <w:p w:rsidR="00DB62F3" w:rsidRP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rPr>
          <w:b/>
        </w:rPr>
        <w:t xml:space="preserve">SECTION </w:t>
      </w:r>
      <w:r w:rsidR="007C4E07" w:rsidRPr="00DB62F3">
        <w:rPr>
          <w:b/>
        </w:rPr>
        <w:t>59</w:t>
      </w:r>
      <w:r w:rsidRPr="00DB62F3">
        <w:rPr>
          <w:b/>
        </w:rPr>
        <w:noBreakHyphen/>
      </w:r>
      <w:r w:rsidR="007C4E07" w:rsidRPr="00DB62F3">
        <w:rPr>
          <w:b/>
        </w:rPr>
        <w:t>66</w:t>
      </w:r>
      <w:r w:rsidRPr="00DB62F3">
        <w:rPr>
          <w:b/>
        </w:rPr>
        <w:noBreakHyphen/>
      </w:r>
      <w:r w:rsidR="007C4E07" w:rsidRPr="00DB62F3">
        <w:rPr>
          <w:b/>
        </w:rPr>
        <w:t>20.</w:t>
      </w:r>
      <w:r w:rsidR="007C4E07" w:rsidRPr="00DB62F3">
        <w:t xml:space="preserve"> School safety coordinator grant program; funding; requirements.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DB62F3" w:rsidRPr="00DB62F3">
        <w:noBreakHyphen/>
      </w:r>
      <w:r w:rsidRPr="00DB62F3">
        <w:t>96 may not exceed twenty</w:t>
      </w:r>
      <w:r w:rsidR="00DB62F3" w:rsidRPr="00DB62F3">
        <w:noBreakHyphen/>
      </w:r>
      <w:r w:rsidRPr="00DB62F3">
        <w:t>five thousand dollars, except for counties which are designated as economically distressed pursuant to Section 41</w:t>
      </w:r>
      <w:r w:rsidR="00DB62F3" w:rsidRPr="00DB62F3">
        <w:noBreakHyphen/>
      </w:r>
      <w:r w:rsidRPr="00DB62F3">
        <w:t>43</w:t>
      </w:r>
      <w:r w:rsidR="00DB62F3" w:rsidRPr="00DB62F3">
        <w:noBreakHyphen/>
      </w:r>
      <w:r w:rsidRPr="00DB62F3">
        <w:t>180. Economically distressed counties participating in the program shall receive additional state funds for fiscal year 1995</w:t>
      </w:r>
      <w:r w:rsidR="00DB62F3" w:rsidRPr="00DB62F3">
        <w:noBreakHyphen/>
      </w:r>
      <w:r w:rsidRPr="00DB62F3">
        <w:t>96 in the amount of five thousand five hundred dollars. The amount which may be awarded for a county, including the additional state funds for economically distressed counties, must be increased each fiscal year after 1995</w:t>
      </w:r>
      <w:r w:rsidR="00DB62F3" w:rsidRPr="00DB62F3">
        <w:noBreakHyphen/>
      </w:r>
      <w:r w:rsidRPr="00DB62F3">
        <w:t>96 by the same percentage as the average teacher salary.</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(B) An award of state funds to school districts under this program is contingent upon a district or group of districts jointly matching the state grant with an equal amount of funds and in</w:t>
      </w:r>
      <w:r w:rsidR="00DB62F3" w:rsidRPr="00DB62F3">
        <w:noBreakHyphen/>
      </w:r>
      <w:r w:rsidRPr="00DB62F3">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DB62F3" w:rsidRPr="00DB62F3">
        <w:t>’</w:t>
      </w:r>
      <w:r w:rsidRPr="00DB62F3">
        <w:t>s student membership bears to the total student membership of all participating districts within the county. Nonparticipating school districts in multi</w:t>
      </w:r>
      <w:r w:rsidR="00DB62F3" w:rsidRPr="00DB62F3">
        <w:noBreakHyphen/>
      </w:r>
      <w:r w:rsidRPr="00DB62F3">
        <w:t>district counties may begin participation in the program by contributing to the local match in the same manner as those school districts originally participating in the program.</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(D) When more than one school district in a multi</w:t>
      </w:r>
      <w:r w:rsidR="00DB62F3" w:rsidRPr="00DB62F3">
        <w:noBreakHyphen/>
      </w:r>
      <w:r w:rsidRPr="00DB62F3">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 xml:space="preserve">(E) For purposes of this section, </w:t>
      </w:r>
      <w:r w:rsidR="00DB62F3" w:rsidRPr="00DB62F3">
        <w:t>“</w:t>
      </w:r>
      <w:r w:rsidRPr="00DB62F3">
        <w:t>student membership</w:t>
      </w:r>
      <w:r w:rsidR="00DB62F3" w:rsidRPr="00DB62F3">
        <w:t>”</w:t>
      </w:r>
      <w:r w:rsidRPr="00DB62F3">
        <w:t xml:space="preserve"> means the cumulative one hundred thirty</w:t>
      </w:r>
      <w:r w:rsidR="00DB62F3" w:rsidRPr="00DB62F3">
        <w:noBreakHyphen/>
      </w:r>
      <w:r w:rsidRPr="00DB62F3">
        <w:t>five day average daily membership during the immediately preceding school year.</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(F) The State Board of Education, through the State Department of Education, shall develop and implement regulations establishing the safety coordinator grant program.</w:t>
      </w:r>
    </w:p>
    <w:p w:rsid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2F3" w:rsidRP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E07" w:rsidRPr="00DB62F3">
        <w:t xml:space="preserve">: 1995 Act No. 7, Part IV, </w:t>
      </w:r>
      <w:r w:rsidRPr="00DB62F3">
        <w:t xml:space="preserve">Section </w:t>
      </w:r>
      <w:r w:rsidR="007C4E07" w:rsidRPr="00DB62F3">
        <w:t>67.</w:t>
      </w:r>
    </w:p>
    <w:p w:rsidR="00DB62F3" w:rsidRP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rPr>
          <w:b/>
        </w:rPr>
        <w:t xml:space="preserve">SECTION </w:t>
      </w:r>
      <w:r w:rsidR="007C4E07" w:rsidRPr="00DB62F3">
        <w:rPr>
          <w:b/>
        </w:rPr>
        <w:t>59</w:t>
      </w:r>
      <w:r w:rsidRPr="00DB62F3">
        <w:rPr>
          <w:b/>
        </w:rPr>
        <w:noBreakHyphen/>
      </w:r>
      <w:r w:rsidR="007C4E07" w:rsidRPr="00DB62F3">
        <w:rPr>
          <w:b/>
        </w:rPr>
        <w:t>66</w:t>
      </w:r>
      <w:r w:rsidRPr="00DB62F3">
        <w:rPr>
          <w:b/>
        </w:rPr>
        <w:noBreakHyphen/>
      </w:r>
      <w:r w:rsidR="007C4E07" w:rsidRPr="00DB62F3">
        <w:rPr>
          <w:b/>
        </w:rPr>
        <w:t>30.</w:t>
      </w:r>
      <w:r w:rsidR="007C4E07" w:rsidRPr="00DB62F3">
        <w:t xml:space="preserve"> Public middle schools and high schools to be equipped with metal detector; training; regulations.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(A) Using funds appropriated by the General Assembly, each public middle, junior high, and high school in the State must be equipped with one hand</w:t>
      </w:r>
      <w:r w:rsidR="00DB62F3" w:rsidRPr="00DB62F3">
        <w:noBreakHyphen/>
      </w:r>
      <w:r w:rsidRPr="00DB62F3">
        <w:t>held metal detector.</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(B) In consultation and cooperation with the Office of the Attorney General and the State Law Enforcement Division, the State Department of Education shall provide training in the use of hand</w:t>
      </w:r>
      <w:r w:rsidR="00DB62F3" w:rsidRPr="00DB62F3">
        <w:noBreakHyphen/>
      </w:r>
      <w:r w:rsidRPr="00DB62F3">
        <w:t>held metal detectors to school officials who shall use the equipment.</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(C) The State Board of Education, through the State Department of Education, shall promulgate regulations to implement this section.</w:t>
      </w:r>
    </w:p>
    <w:p w:rsid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2F3" w:rsidRP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4E07" w:rsidRPr="00DB62F3">
        <w:t xml:space="preserve">: 1995 Act No. 7, Part IV, </w:t>
      </w:r>
      <w:r w:rsidRPr="00DB62F3">
        <w:t xml:space="preserve">Section </w:t>
      </w:r>
      <w:r w:rsidR="007C4E07" w:rsidRPr="00DB62F3">
        <w:t>68.</w:t>
      </w:r>
    </w:p>
    <w:p w:rsidR="00DB62F3" w:rsidRP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rPr>
          <w:b/>
        </w:rPr>
        <w:t xml:space="preserve">SECTION </w:t>
      </w:r>
      <w:r w:rsidR="007C4E07" w:rsidRPr="00DB62F3">
        <w:rPr>
          <w:b/>
        </w:rPr>
        <w:t>59</w:t>
      </w:r>
      <w:r w:rsidRPr="00DB62F3">
        <w:rPr>
          <w:b/>
        </w:rPr>
        <w:noBreakHyphen/>
      </w:r>
      <w:r w:rsidR="007C4E07" w:rsidRPr="00DB62F3">
        <w:rPr>
          <w:b/>
        </w:rPr>
        <w:t>66</w:t>
      </w:r>
      <w:r w:rsidRPr="00DB62F3">
        <w:rPr>
          <w:b/>
        </w:rPr>
        <w:noBreakHyphen/>
      </w:r>
      <w:r w:rsidR="007C4E07" w:rsidRPr="00DB62F3">
        <w:rPr>
          <w:b/>
        </w:rPr>
        <w:t>40.</w:t>
      </w:r>
      <w:r w:rsidR="007C4E07" w:rsidRPr="00DB62F3">
        <w:t xml:space="preserve"> School safety task force.</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lastRenderedPageBreak/>
        <w:tab/>
        <w:t>(A)(1) There is created a school safety task force to:</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r>
      <w:r w:rsidRPr="00DB62F3">
        <w:tab/>
        <w:t>(a) examine the various funding streams for school</w:t>
      </w:r>
      <w:r w:rsidR="00DB62F3" w:rsidRPr="00DB62F3">
        <w:noBreakHyphen/>
      </w:r>
      <w:r w:rsidRPr="00DB62F3">
        <w:t>based mental health services and determine how these streams may best be utilized in order to provide more accessible and efficient delivery of mental health programs;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r>
      <w:r w:rsidRPr="00DB62F3">
        <w:tab/>
        <w:t>(b) examine school mental health staffing ratios and provide suggestions that allow for the full delivery of services and effective school</w:t>
      </w:r>
      <w:r w:rsidR="00DB62F3" w:rsidRPr="00DB62F3">
        <w:noBreakHyphen/>
      </w:r>
      <w:r w:rsidRPr="00DB62F3">
        <w:t>community partnerships, including collaboration between school districts;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r>
      <w:r w:rsidRPr="00DB62F3">
        <w:tab/>
        <w:t>(c) develop standards for district level policies to promote effective school discipline and mental health intervention services;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r>
      <w:r w:rsidRPr="00DB62F3">
        <w:tab/>
        <w:t>(d) examine current intra</w:t>
      </w:r>
      <w:r w:rsidR="00DB62F3" w:rsidRPr="00DB62F3">
        <w:noBreakHyphen/>
      </w:r>
      <w:r w:rsidRPr="00DB62F3">
        <w:t xml:space="preserve"> and interagency collaboration and suggest ways to improve cooperation; and</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r>
      <w:r w:rsidRPr="00DB62F3">
        <w:tab/>
        <w:t>(e) examine how to best support multitiered systems of support.</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(2) Any recommendations made by the task force must be revenue neutral.</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(3) The task force shall report its findings and make recommendations concerning proposed changes to the General Assembly.</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(B) The task force must be composed of:</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(1) one member appointed by the South Carolina Association of Licensed Professional Counselors;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(2) one member appointed by the South Carolina Society for Clinical Social Work;</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(3) one member appointed by the South Carolina Education Association;</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(4) one member appointed by the Palmetto State Teachers Association;</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(5) one member appointed by the South Carolina School Counselor Association;</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(6) one member appointed by the South Carolina Association of School Psychologists;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(7) one member appointed by the South Carolina Association of School Social Workers;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(8) one member appointed by the South Carolina Association for Marriage and Family Therapy;</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(9) one member appointed by the South Carolina Association of School Administrators;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(10) one member appointed by the South Carolina School Boards Association;</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(11) one member appointed by the South Carolina Department of Mental Health;</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(12) one member appointed by the South Carolina Association of School Resource Officers;</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(13) one member appointed by the Chief of the State Law Enforcement Division;</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(14) one member appointed by the Governor;</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(15) one member appointed by the State Superintendent of Education;</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(16) two members appointed by the Chairman of the House Education and Public Works Committee; and</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r>
      <w:r w:rsidRPr="00DB62F3">
        <w:tab/>
        <w:t>(17) two members appointed by the Chairman of the Senate Education Committee.</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(C) Vacancies in the membership of the task force must be filled for the remainder of the unexpired term in the manner of original appointment.</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(D) Members of the task force shall serve without compensation and may not receive mileage or per diem.</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(E) The staffing for the task force must be provided by the staff of the House Education and Public Works Committee and Senate Education Committee.</w:t>
      </w:r>
    </w:p>
    <w:p w:rsidR="00DB62F3" w:rsidRDefault="007C4E07"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62F3">
        <w:tab/>
        <w:t>(F) The task force shall make a report of its recommendations to the General Assembly no later than December 31, 2014, at which time the task force must be dissolved.</w:t>
      </w:r>
    </w:p>
    <w:p w:rsid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2F3" w:rsidRDefault="00DB62F3"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4E07" w:rsidRPr="00DB62F3">
        <w:t xml:space="preserve">: 2014 Act No. 252 (H.3365), </w:t>
      </w:r>
      <w:r w:rsidRPr="00DB62F3">
        <w:t xml:space="preserve">Section </w:t>
      </w:r>
      <w:r w:rsidR="007C4E07" w:rsidRPr="00DB62F3">
        <w:t>1, eff June 6, 2014.</w:t>
      </w:r>
    </w:p>
    <w:p w:rsidR="00184435" w:rsidRPr="00DB62F3" w:rsidRDefault="00184435" w:rsidP="00DB62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62F3" w:rsidSect="00DB62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2F3" w:rsidRDefault="00DB62F3" w:rsidP="00DB62F3">
      <w:r>
        <w:separator/>
      </w:r>
    </w:p>
  </w:endnote>
  <w:endnote w:type="continuationSeparator" w:id="0">
    <w:p w:rsidR="00DB62F3" w:rsidRDefault="00DB62F3" w:rsidP="00DB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F3" w:rsidRPr="00DB62F3" w:rsidRDefault="00DB62F3" w:rsidP="00DB6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F3" w:rsidRPr="00DB62F3" w:rsidRDefault="00DB62F3" w:rsidP="00DB62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F3" w:rsidRPr="00DB62F3" w:rsidRDefault="00DB62F3" w:rsidP="00DB6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2F3" w:rsidRDefault="00DB62F3" w:rsidP="00DB62F3">
      <w:r>
        <w:separator/>
      </w:r>
    </w:p>
  </w:footnote>
  <w:footnote w:type="continuationSeparator" w:id="0">
    <w:p w:rsidR="00DB62F3" w:rsidRDefault="00DB62F3" w:rsidP="00DB6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F3" w:rsidRPr="00DB62F3" w:rsidRDefault="00DB62F3" w:rsidP="00DB6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F3" w:rsidRPr="00DB62F3" w:rsidRDefault="00DB62F3" w:rsidP="00DB6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F3" w:rsidRPr="00DB62F3" w:rsidRDefault="00DB62F3" w:rsidP="00DB6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4E0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62F3"/>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18A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5B2D9-A773-48A9-BA59-3F7E07D2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2F3"/>
    <w:pPr>
      <w:tabs>
        <w:tab w:val="clear" w:pos="720"/>
        <w:tab w:val="center" w:pos="4680"/>
        <w:tab w:val="right" w:pos="9360"/>
      </w:tabs>
    </w:pPr>
  </w:style>
  <w:style w:type="character" w:customStyle="1" w:styleId="HeaderChar">
    <w:name w:val="Header Char"/>
    <w:basedOn w:val="DefaultParagraphFont"/>
    <w:link w:val="Header"/>
    <w:uiPriority w:val="99"/>
    <w:rsid w:val="00DB62F3"/>
    <w:rPr>
      <w:rFonts w:cs="Times New Roman"/>
    </w:rPr>
  </w:style>
  <w:style w:type="paragraph" w:styleId="Footer">
    <w:name w:val="footer"/>
    <w:basedOn w:val="Normal"/>
    <w:link w:val="FooterChar"/>
    <w:uiPriority w:val="99"/>
    <w:unhideWhenUsed/>
    <w:rsid w:val="00DB62F3"/>
    <w:pPr>
      <w:tabs>
        <w:tab w:val="clear" w:pos="720"/>
        <w:tab w:val="center" w:pos="4680"/>
        <w:tab w:val="right" w:pos="9360"/>
      </w:tabs>
    </w:pPr>
  </w:style>
  <w:style w:type="character" w:customStyle="1" w:styleId="FooterChar">
    <w:name w:val="Footer Char"/>
    <w:basedOn w:val="DefaultParagraphFont"/>
    <w:link w:val="Footer"/>
    <w:uiPriority w:val="99"/>
    <w:rsid w:val="00DB62F3"/>
    <w:rPr>
      <w:rFonts w:cs="Times New Roman"/>
    </w:rPr>
  </w:style>
  <w:style w:type="character" w:styleId="Hyperlink">
    <w:name w:val="Hyperlink"/>
    <w:basedOn w:val="DefaultParagraphFont"/>
    <w:uiPriority w:val="99"/>
    <w:semiHidden/>
    <w:rsid w:val="00FB1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1313</Words>
  <Characters>7486</Characters>
  <Application>Microsoft Office Word</Application>
  <DocSecurity>0</DocSecurity>
  <Lines>62</Lines>
  <Paragraphs>17</Paragraphs>
  <ScaleCrop>false</ScaleCrop>
  <Company>Legislative Services Agency (LSA)</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