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5CF3">
        <w:t>CHAPTER 39</w:t>
      </w:r>
    </w:p>
    <w:p w:rsidR="009B5CF3" w:rsidRP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5CF3">
        <w:t>Joint Legislative Committee on Energy</w:t>
      </w:r>
      <w:bookmarkStart w:id="0" w:name="_GoBack"/>
      <w:bookmarkEnd w:id="0"/>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rPr>
          <w:b/>
        </w:rPr>
        <w:t xml:space="preserve">SECTION </w:t>
      </w:r>
      <w:r w:rsidR="00AC679D" w:rsidRPr="009B5CF3">
        <w:rPr>
          <w:b/>
        </w:rPr>
        <w:t>11</w:t>
      </w:r>
      <w:r w:rsidRPr="009B5CF3">
        <w:rPr>
          <w:b/>
        </w:rPr>
        <w:noBreakHyphen/>
      </w:r>
      <w:r w:rsidR="00AC679D" w:rsidRPr="009B5CF3">
        <w:rPr>
          <w:b/>
        </w:rPr>
        <w:t>39</w:t>
      </w:r>
      <w:r w:rsidRPr="009B5CF3">
        <w:rPr>
          <w:b/>
        </w:rPr>
        <w:noBreakHyphen/>
      </w:r>
      <w:r w:rsidR="00AC679D" w:rsidRPr="009B5CF3">
        <w:rPr>
          <w:b/>
        </w:rPr>
        <w:t>10.</w:t>
      </w:r>
      <w:r w:rsidR="00AC679D" w:rsidRPr="009B5CF3">
        <w:t xml:space="preserve"> Committee to review energy policy.</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9B5CF3" w:rsidRPr="009B5CF3">
        <w:t>’</w:t>
      </w:r>
      <w:r w:rsidRPr="009B5CF3">
        <w:t>s energy policy. Energy policy established by the Joint Legislative Committee on Energy must be based primarily on the potential for reducing the costs of energy consumption, and such potential cost savings must be estimated and documented for future analysis.</w:t>
      </w: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79D" w:rsidRPr="009B5CF3">
        <w:t xml:space="preserve">: 1988 Act No. 680, </w:t>
      </w:r>
      <w:r w:rsidRPr="009B5CF3">
        <w:t xml:space="preserve">Section </w:t>
      </w:r>
      <w:r w:rsidR="00AC679D" w:rsidRPr="009B5CF3">
        <w:t>1.</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Library References</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States 34.</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Westlaw Topic No. 360.</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 xml:space="preserve">C.J.S. States </w:t>
      </w:r>
      <w:r w:rsidR="009B5CF3" w:rsidRPr="009B5CF3">
        <w:t xml:space="preserve">Sections </w:t>
      </w:r>
      <w:r w:rsidRPr="009B5CF3">
        <w:t xml:space="preserve"> 81, 87, 109 to 111.</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Attorney General</w:t>
      </w:r>
      <w:r w:rsidR="009B5CF3" w:rsidRPr="009B5CF3">
        <w:t>’</w:t>
      </w:r>
      <w:r w:rsidRPr="009B5CF3">
        <w:t>s Opinions</w:t>
      </w:r>
    </w:p>
    <w:p w:rsidR="009B5CF3" w:rsidRP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5CF3">
        <w:t>The General Assembly did not intend to repeal the authority for the Joint Committee on Energy, notwithstanding the veto by the Governor of appropriations for the Committee</w:t>
      </w:r>
      <w:r w:rsidR="009B5CF3" w:rsidRPr="009B5CF3">
        <w:t>’</w:t>
      </w:r>
      <w:r w:rsidRPr="009B5CF3">
        <w:t>s operation; until a court determines otherwise, all actions of the Committee are valid and effectual. 1992 S.C. Op.Atty.Gen. 101, 1992 S.C. Op.Atty.Gen. No. 92</w:t>
      </w:r>
      <w:r w:rsidR="009B5CF3" w:rsidRPr="009B5CF3">
        <w:noBreakHyphen/>
      </w:r>
      <w:r w:rsidRPr="009B5CF3">
        <w:t>41, (July 28, 1992) 1992 WL 575647.</w:t>
      </w: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rPr>
          <w:b/>
        </w:rPr>
        <w:t xml:space="preserve">SECTION </w:t>
      </w:r>
      <w:r w:rsidR="00AC679D" w:rsidRPr="009B5CF3">
        <w:rPr>
          <w:b/>
        </w:rPr>
        <w:t>11</w:t>
      </w:r>
      <w:r w:rsidRPr="009B5CF3">
        <w:rPr>
          <w:b/>
        </w:rPr>
        <w:noBreakHyphen/>
      </w:r>
      <w:r w:rsidR="00AC679D" w:rsidRPr="009B5CF3">
        <w:rPr>
          <w:b/>
        </w:rPr>
        <w:t>39</w:t>
      </w:r>
      <w:r w:rsidRPr="009B5CF3">
        <w:rPr>
          <w:b/>
        </w:rPr>
        <w:noBreakHyphen/>
      </w:r>
      <w:r w:rsidR="00AC679D" w:rsidRPr="009B5CF3">
        <w:rPr>
          <w:b/>
        </w:rPr>
        <w:t>20.</w:t>
      </w:r>
      <w:r w:rsidR="00AC679D" w:rsidRPr="009B5CF3">
        <w:t xml:space="preserve"> Allocation of funding.</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b/>
        <w:t>Pursuant to the guidelines established by the Department of Energy, decisions of the federal courts, and the Joint Legislative Committee on Energy, the Governor</w:t>
      </w:r>
      <w:r w:rsidR="009B5CF3" w:rsidRPr="009B5CF3">
        <w:t>’</w:t>
      </w:r>
      <w:r w:rsidRPr="009B5CF3">
        <w:t>s office shall make decisions on the allocation of energy program funding. After consultation with the Governor</w:t>
      </w:r>
      <w:r w:rsidR="009B5CF3" w:rsidRPr="009B5CF3">
        <w:t>’</w:t>
      </w:r>
      <w:r w:rsidRPr="009B5CF3">
        <w:t>s office, the Joint Legislative Committee on Energy shall review the projects approved by the Governor for funding. This review may not exceed sixty days and the Joint Legislative Committee on Energy may within that time period remand to the Governor</w:t>
      </w:r>
      <w:r w:rsidR="009B5CF3" w:rsidRPr="009B5CF3">
        <w:t>’</w:t>
      </w:r>
      <w:r w:rsidRPr="009B5CF3">
        <w:t>s office for reconsideration any of the approved projects with which the committee is in disagreement.</w:t>
      </w: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79D" w:rsidRPr="009B5CF3">
        <w:t xml:space="preserve">: 1988 Act No. 680, </w:t>
      </w:r>
      <w:r w:rsidRPr="009B5CF3">
        <w:t xml:space="preserve">Section </w:t>
      </w:r>
      <w:r w:rsidR="00AC679D" w:rsidRPr="009B5CF3">
        <w:t>2.</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CROSS REFERENCES</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 xml:space="preserve">Decisions regarding allocation of oil overcharge funds transferred to Solid Waste Management Trust Fund, by the Department of Health and Environmental Control, see </w:t>
      </w:r>
      <w:r w:rsidR="009B5CF3" w:rsidRPr="009B5CF3">
        <w:t xml:space="preserve">Section </w:t>
      </w:r>
      <w:r w:rsidRPr="009B5CF3">
        <w:t>44</w:t>
      </w:r>
      <w:r w:rsidR="009B5CF3" w:rsidRPr="009B5CF3">
        <w:noBreakHyphen/>
      </w:r>
      <w:r w:rsidRPr="009B5CF3">
        <w:t>96</w:t>
      </w:r>
      <w:r w:rsidR="009B5CF3" w:rsidRPr="009B5CF3">
        <w:noBreakHyphen/>
      </w:r>
      <w:r w:rsidRPr="009B5CF3">
        <w:t>120.</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Library References</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States 123.</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Westlaw Topic No. 360.</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 xml:space="preserve">C.J.S. States </w:t>
      </w:r>
      <w:r w:rsidR="009B5CF3" w:rsidRPr="009B5CF3">
        <w:t xml:space="preserve">Sections </w:t>
      </w:r>
      <w:r w:rsidRPr="009B5CF3">
        <w:t xml:space="preserve"> 377 to 380.</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Attorney General</w:t>
      </w:r>
      <w:r w:rsidR="009B5CF3" w:rsidRPr="009B5CF3">
        <w:t>’</w:t>
      </w:r>
      <w:r w:rsidRPr="009B5CF3">
        <w:t>s Opinions</w:t>
      </w:r>
    </w:p>
    <w:p w:rsidR="009B5CF3" w:rsidRP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5CF3">
        <w:t>The General Assembly did not intend to repeal the authority for the Joint Committee on Energy, notwithstanding the veto by the Governor of appropriations for the Committee</w:t>
      </w:r>
      <w:r w:rsidR="009B5CF3" w:rsidRPr="009B5CF3">
        <w:t>’</w:t>
      </w:r>
      <w:r w:rsidRPr="009B5CF3">
        <w:t>s operation; until a court determines otherwise, all actions of the Committee are valid and effectual. 1992 S.C. Op.Atty.Gen. 101, 1992 S.C. Op.Atty.Gen. No. 92</w:t>
      </w:r>
      <w:r w:rsidR="009B5CF3" w:rsidRPr="009B5CF3">
        <w:noBreakHyphen/>
      </w:r>
      <w:r w:rsidRPr="009B5CF3">
        <w:t>41, (July 28, 1992) 1992 WL 575647.</w:t>
      </w: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rPr>
          <w:b/>
        </w:rPr>
        <w:t xml:space="preserve">SECTION </w:t>
      </w:r>
      <w:r w:rsidR="00AC679D" w:rsidRPr="009B5CF3">
        <w:rPr>
          <w:b/>
        </w:rPr>
        <w:t>11</w:t>
      </w:r>
      <w:r w:rsidRPr="009B5CF3">
        <w:rPr>
          <w:b/>
        </w:rPr>
        <w:noBreakHyphen/>
      </w:r>
      <w:r w:rsidR="00AC679D" w:rsidRPr="009B5CF3">
        <w:rPr>
          <w:b/>
        </w:rPr>
        <w:t>39</w:t>
      </w:r>
      <w:r w:rsidRPr="009B5CF3">
        <w:rPr>
          <w:b/>
        </w:rPr>
        <w:noBreakHyphen/>
      </w:r>
      <w:r w:rsidR="00AC679D" w:rsidRPr="009B5CF3">
        <w:rPr>
          <w:b/>
        </w:rPr>
        <w:t>30.</w:t>
      </w:r>
      <w:r w:rsidR="00AC679D" w:rsidRPr="009B5CF3">
        <w:t xml:space="preserve"> Oversight responsibility.</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C679D" w:rsidRPr="009B5CF3">
        <w:t xml:space="preserve">: 1988 Act No. 680, </w:t>
      </w:r>
      <w:r w:rsidRPr="009B5CF3">
        <w:t xml:space="preserve">Section </w:t>
      </w:r>
      <w:r w:rsidR="00AC679D" w:rsidRPr="009B5CF3">
        <w:t>3.</w:t>
      </w: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rPr>
          <w:b/>
        </w:rPr>
        <w:t xml:space="preserve">SECTION </w:t>
      </w:r>
      <w:r w:rsidR="00AC679D" w:rsidRPr="009B5CF3">
        <w:rPr>
          <w:b/>
        </w:rPr>
        <w:t>11</w:t>
      </w:r>
      <w:r w:rsidRPr="009B5CF3">
        <w:rPr>
          <w:b/>
        </w:rPr>
        <w:noBreakHyphen/>
      </w:r>
      <w:r w:rsidR="00AC679D" w:rsidRPr="009B5CF3">
        <w:rPr>
          <w:b/>
        </w:rPr>
        <w:t>39</w:t>
      </w:r>
      <w:r w:rsidRPr="009B5CF3">
        <w:rPr>
          <w:b/>
        </w:rPr>
        <w:noBreakHyphen/>
      </w:r>
      <w:r w:rsidR="00AC679D" w:rsidRPr="009B5CF3">
        <w:rPr>
          <w:b/>
        </w:rPr>
        <w:t>40.</w:t>
      </w:r>
      <w:r w:rsidR="00AC679D" w:rsidRPr="009B5CF3">
        <w:t xml:space="preserve"> Evaluation of entity receiving financial gain.</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b/>
        <w:t>Any state agency, board, commission, institution, or other entity funded from the general fund of the State which receives a financial gain as a result of energy efficiency improvements undertaken as a result of the state</w:t>
      </w:r>
      <w:r w:rsidR="009B5CF3" w:rsidRPr="009B5CF3">
        <w:t>’</w:t>
      </w:r>
      <w:r w:rsidRPr="009B5CF3">
        <w:t>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679D" w:rsidRPr="009B5CF3">
        <w:t xml:space="preserve">: 1988 Act No. 680, </w:t>
      </w:r>
      <w:r w:rsidRPr="009B5CF3">
        <w:t xml:space="preserve">Section </w:t>
      </w:r>
      <w:r w:rsidR="00AC679D" w:rsidRPr="009B5CF3">
        <w:t>4.</w:t>
      </w:r>
    </w:p>
    <w:p w:rsidR="009B5CF3" w:rsidRP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rPr>
          <w:b/>
        </w:rPr>
        <w:t xml:space="preserve">SECTION </w:t>
      </w:r>
      <w:r w:rsidR="00AC679D" w:rsidRPr="009B5CF3">
        <w:rPr>
          <w:b/>
        </w:rPr>
        <w:t>11</w:t>
      </w:r>
      <w:r w:rsidRPr="009B5CF3">
        <w:rPr>
          <w:b/>
        </w:rPr>
        <w:noBreakHyphen/>
      </w:r>
      <w:r w:rsidR="00AC679D" w:rsidRPr="009B5CF3">
        <w:rPr>
          <w:b/>
        </w:rPr>
        <w:t>39</w:t>
      </w:r>
      <w:r w:rsidRPr="009B5CF3">
        <w:rPr>
          <w:b/>
        </w:rPr>
        <w:noBreakHyphen/>
      </w:r>
      <w:r w:rsidR="00AC679D" w:rsidRPr="009B5CF3">
        <w:rPr>
          <w:b/>
        </w:rPr>
        <w:t>50.</w:t>
      </w:r>
      <w:r w:rsidR="00AC679D" w:rsidRPr="009B5CF3">
        <w:t xml:space="preserve"> Deposit in interest</w:t>
      </w:r>
      <w:r w:rsidRPr="009B5CF3">
        <w:noBreakHyphen/>
      </w:r>
      <w:r w:rsidR="00AC679D" w:rsidRPr="009B5CF3">
        <w:t>bearing account; disbursement.</w:t>
      </w:r>
    </w:p>
    <w:p w:rsidR="009B5CF3" w:rsidRDefault="00AC679D"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5CF3">
        <w:tab/>
        <w:t>Oil overcharge funds must be deposited by the State Treasurer in interest</w:t>
      </w:r>
      <w:r w:rsidR="009B5CF3" w:rsidRPr="009B5CF3">
        <w:noBreakHyphen/>
      </w:r>
      <w:r w:rsidRPr="009B5CF3">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9B5CF3" w:rsidRPr="009B5CF3">
        <w:t>’</w:t>
      </w:r>
      <w:r w:rsidRPr="009B5CF3">
        <w:t>s oil overcharge funds account.</w:t>
      </w: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B5CF3" w:rsidRDefault="009B5CF3"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679D" w:rsidRPr="009B5CF3">
        <w:t xml:space="preserve">: 1988 Act No. 680, </w:t>
      </w:r>
      <w:r w:rsidRPr="009B5CF3">
        <w:t xml:space="preserve">Section </w:t>
      </w:r>
      <w:r w:rsidR="00AC679D" w:rsidRPr="009B5CF3">
        <w:t xml:space="preserve">5; 2005 Act No. 164, </w:t>
      </w:r>
      <w:r w:rsidRPr="009B5CF3">
        <w:t xml:space="preserve">Section </w:t>
      </w:r>
      <w:r w:rsidR="00AC679D" w:rsidRPr="009B5CF3">
        <w:t>12.</w:t>
      </w:r>
    </w:p>
    <w:p w:rsidR="00A84CDB" w:rsidRPr="009B5CF3" w:rsidRDefault="00A84CDB" w:rsidP="009B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B5CF3" w:rsidSect="009B5C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F3" w:rsidRDefault="009B5CF3" w:rsidP="009B5CF3">
      <w:r>
        <w:separator/>
      </w:r>
    </w:p>
  </w:endnote>
  <w:endnote w:type="continuationSeparator" w:id="0">
    <w:p w:rsidR="009B5CF3" w:rsidRDefault="009B5CF3" w:rsidP="009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F3" w:rsidRDefault="009B5CF3" w:rsidP="009B5CF3">
      <w:r>
        <w:separator/>
      </w:r>
    </w:p>
  </w:footnote>
  <w:footnote w:type="continuationSeparator" w:id="0">
    <w:p w:rsidR="009B5CF3" w:rsidRDefault="009B5CF3" w:rsidP="009B5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CF3" w:rsidRPr="009B5CF3" w:rsidRDefault="009B5CF3" w:rsidP="009B5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9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B5CF3"/>
    <w:rsid w:val="00A220E4"/>
    <w:rsid w:val="00A52663"/>
    <w:rsid w:val="00A84CDB"/>
    <w:rsid w:val="00AC679D"/>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01B3-2344-485A-B54A-E0ECFEF8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679D"/>
    <w:rPr>
      <w:rFonts w:ascii="Courier New" w:eastAsiaTheme="minorEastAsia" w:hAnsi="Courier New" w:cs="Courier New"/>
      <w:sz w:val="20"/>
      <w:szCs w:val="20"/>
    </w:rPr>
  </w:style>
  <w:style w:type="paragraph" w:styleId="Header">
    <w:name w:val="header"/>
    <w:basedOn w:val="Normal"/>
    <w:link w:val="HeaderChar"/>
    <w:uiPriority w:val="99"/>
    <w:unhideWhenUsed/>
    <w:rsid w:val="009B5CF3"/>
    <w:pPr>
      <w:tabs>
        <w:tab w:val="center" w:pos="4680"/>
        <w:tab w:val="right" w:pos="9360"/>
      </w:tabs>
    </w:pPr>
  </w:style>
  <w:style w:type="character" w:customStyle="1" w:styleId="HeaderChar">
    <w:name w:val="Header Char"/>
    <w:basedOn w:val="DefaultParagraphFont"/>
    <w:link w:val="Header"/>
    <w:uiPriority w:val="99"/>
    <w:rsid w:val="009B5CF3"/>
    <w:rPr>
      <w:rFonts w:cs="Times New Roman"/>
    </w:rPr>
  </w:style>
  <w:style w:type="paragraph" w:styleId="Footer">
    <w:name w:val="footer"/>
    <w:basedOn w:val="Normal"/>
    <w:link w:val="FooterChar"/>
    <w:uiPriority w:val="99"/>
    <w:unhideWhenUsed/>
    <w:rsid w:val="009B5CF3"/>
    <w:pPr>
      <w:tabs>
        <w:tab w:val="center" w:pos="4680"/>
        <w:tab w:val="right" w:pos="9360"/>
      </w:tabs>
    </w:pPr>
  </w:style>
  <w:style w:type="character" w:customStyle="1" w:styleId="FooterChar">
    <w:name w:val="Footer Char"/>
    <w:basedOn w:val="DefaultParagraphFont"/>
    <w:link w:val="Footer"/>
    <w:uiPriority w:val="99"/>
    <w:rsid w:val="009B5C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704</Words>
  <Characters>4014</Characters>
  <Application>Microsoft Office Word</Application>
  <DocSecurity>0</DocSecurity>
  <Lines>33</Lines>
  <Paragraphs>9</Paragraphs>
  <ScaleCrop>false</ScaleCrop>
  <Company>Legislative Services Agency (LSA)</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