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99B">
        <w:t>CHAPTER 11</w:t>
      </w:r>
    </w:p>
    <w:p w:rsidR="00BA199B" w:rsidRP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199B">
        <w:t>Lien of Mining and Manufacturing Employees</w:t>
      </w:r>
      <w:bookmarkStart w:id="0" w:name="_GoBack"/>
      <w:bookmarkEnd w:id="0"/>
    </w:p>
    <w:p w:rsidR="00BA199B" w:rsidRP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rPr>
          <w:b/>
        </w:rPr>
        <w:t xml:space="preserve">SECTION </w:t>
      </w:r>
      <w:r w:rsidR="00381314" w:rsidRPr="00BA199B">
        <w:rPr>
          <w:b/>
        </w:rPr>
        <w:t>29</w:t>
      </w:r>
      <w:r w:rsidRPr="00BA199B">
        <w:rPr>
          <w:b/>
        </w:rPr>
        <w:noBreakHyphen/>
      </w:r>
      <w:r w:rsidR="00381314" w:rsidRPr="00BA199B">
        <w:rPr>
          <w:b/>
        </w:rPr>
        <w:t>11</w:t>
      </w:r>
      <w:r w:rsidRPr="00BA199B">
        <w:rPr>
          <w:b/>
        </w:rPr>
        <w:noBreakHyphen/>
      </w:r>
      <w:r w:rsidR="00381314" w:rsidRPr="00BA199B">
        <w:rPr>
          <w:b/>
        </w:rPr>
        <w:t>10.</w:t>
      </w:r>
      <w:r w:rsidR="00381314" w:rsidRPr="00BA199B">
        <w:t xml:space="preserve"> Lien of mining and manufacturing employees on output of employer.</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314" w:rsidRPr="00BA199B">
        <w:t xml:space="preserve">: 1962 Code </w:t>
      </w:r>
      <w:r w:rsidRPr="00BA199B">
        <w:t xml:space="preserve">Section </w:t>
      </w:r>
      <w:r w:rsidR="00381314" w:rsidRPr="00BA199B">
        <w:t>45</w:t>
      </w:r>
      <w:r w:rsidRPr="00BA199B">
        <w:noBreakHyphen/>
      </w:r>
      <w:r w:rsidR="00381314" w:rsidRPr="00BA199B">
        <w:t xml:space="preserve">451; 1952 Code </w:t>
      </w:r>
      <w:r w:rsidRPr="00BA199B">
        <w:t xml:space="preserve">Section </w:t>
      </w:r>
      <w:r w:rsidR="00381314" w:rsidRPr="00BA199B">
        <w:t>45</w:t>
      </w:r>
      <w:r w:rsidRPr="00BA199B">
        <w:noBreakHyphen/>
      </w:r>
      <w:r w:rsidR="00381314" w:rsidRPr="00BA199B">
        <w:t xml:space="preserve">451; 1942 Code </w:t>
      </w:r>
      <w:r w:rsidRPr="00BA199B">
        <w:t xml:space="preserve">Section </w:t>
      </w:r>
      <w:r w:rsidR="00381314" w:rsidRPr="00BA199B">
        <w:t xml:space="preserve">8789; 1932 Code </w:t>
      </w:r>
      <w:r w:rsidRPr="00BA199B">
        <w:t xml:space="preserve">Section </w:t>
      </w:r>
      <w:r w:rsidR="00381314" w:rsidRPr="00BA199B">
        <w:t xml:space="preserve">8782; Civ. C. </w:t>
      </w:r>
      <w:r w:rsidRPr="00BA199B">
        <w:t>‘</w:t>
      </w:r>
      <w:r w:rsidR="00381314" w:rsidRPr="00BA199B">
        <w:t xml:space="preserve">22 </w:t>
      </w:r>
      <w:r w:rsidRPr="00BA199B">
        <w:t xml:space="preserve">Section </w:t>
      </w:r>
      <w:r w:rsidR="00381314" w:rsidRPr="00BA199B">
        <w:t xml:space="preserve">5703; Civ. C. </w:t>
      </w:r>
      <w:r w:rsidRPr="00BA199B">
        <w:t>‘</w:t>
      </w:r>
      <w:r w:rsidR="00381314" w:rsidRPr="00BA199B">
        <w:t xml:space="preserve">12 </w:t>
      </w:r>
      <w:r w:rsidRPr="00BA199B">
        <w:t xml:space="preserve">Section </w:t>
      </w:r>
      <w:r w:rsidR="00381314" w:rsidRPr="00BA199B">
        <w:t xml:space="preserve">4173; Civ. C. </w:t>
      </w:r>
      <w:r w:rsidRPr="00BA199B">
        <w:t>‘</w:t>
      </w:r>
      <w:r w:rsidR="00381314" w:rsidRPr="00BA199B">
        <w:t xml:space="preserve">02 </w:t>
      </w:r>
      <w:r w:rsidRPr="00BA199B">
        <w:t xml:space="preserve">Section </w:t>
      </w:r>
      <w:r w:rsidR="00381314" w:rsidRPr="00BA199B">
        <w:t>3069; 1897 (22) 502; 1915 (29) 248.</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CROSS REFERENCES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 xml:space="preserve">Mines and minerals, generally, see </w:t>
      </w:r>
      <w:r w:rsidR="00BA199B" w:rsidRPr="00BA199B">
        <w:t xml:space="preserve">Section </w:t>
      </w:r>
      <w:r w:rsidRPr="00BA199B">
        <w:t>10</w:t>
      </w:r>
      <w:r w:rsidR="00BA199B" w:rsidRPr="00BA199B">
        <w:noBreakHyphen/>
      </w:r>
      <w:r w:rsidRPr="00BA199B">
        <w:t>9</w:t>
      </w:r>
      <w:r w:rsidR="00BA199B" w:rsidRPr="00BA199B">
        <w:noBreakHyphen/>
      </w:r>
      <w:r w:rsidRPr="00BA199B">
        <w:t>10 et seq.</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Library References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Labor and Employment 232.</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Westlaw Topic No. 231H.</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NOTES OF DECISIONS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In general 1</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Employees 2</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Salary or wages 3</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1. In general</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Cited in Witt v. People</w:t>
      </w:r>
      <w:r w:rsidR="00BA199B" w:rsidRPr="00BA199B">
        <w:t>’</w:t>
      </w:r>
      <w:r w:rsidRPr="00BA199B">
        <w:t>s State Bank of South Carolina (S.C. 1932) 166 S.C. 1, 164 S.E. 306, 83 A.L.R. 1068.</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See Little v Edisto Hardwood Co. (1931) 161 SC 344, 159 SE 646, where under facts there presented the court held that workers were entitled to wages under this section and company estopped by their actions to deny that person hiring them was not their agent but independent contractor. Little v. Edisto Hardwood Co. (S.C. 1931) 161 S.C. 344, 159 S.E. 646.</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An employer filing replevy bond and proceeding to trial was estopped in a subsequent action on bond to claim that the employee was not a laborer within this section. Padgett v. Cunningham (S.C. 1930) 156 S.C. 356, 153 S.E. 280. Labor And Employment 236</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 xml:space="preserve">This section and what is now </w:t>
      </w:r>
      <w:r w:rsidR="00BA199B" w:rsidRPr="00BA199B">
        <w:t xml:space="preserve">Section </w:t>
      </w:r>
      <w:r w:rsidRPr="00BA199B">
        <w:t>29</w:t>
      </w:r>
      <w:r w:rsidR="00BA199B" w:rsidRPr="00BA199B">
        <w:noBreakHyphen/>
      </w:r>
      <w:r w:rsidRPr="00BA199B">
        <w:t>11</w:t>
      </w:r>
      <w:r w:rsidR="00BA199B" w:rsidRPr="00BA199B">
        <w:noBreakHyphen/>
      </w:r>
      <w:r w:rsidRPr="00BA199B">
        <w:t>30 are sufficiently definite in respect to what officer of court was to issue attachment therein authorized. Moody v. Dudley Lumber Co. (S.C. 1927) 138 S.C. 478, 137 S.E. 141.</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South Carolina worker</w:t>
      </w:r>
      <w:r w:rsidR="00BA199B" w:rsidRPr="00BA199B">
        <w:t>’</w:t>
      </w:r>
      <w:r w:rsidRPr="00BA199B">
        <w:t>s lien statute does not apply to workers in out</w:t>
      </w:r>
      <w:r w:rsidR="00BA199B" w:rsidRPr="00BA199B">
        <w:noBreakHyphen/>
      </w:r>
      <w:r w:rsidRPr="00BA199B">
        <w:t>of</w:t>
      </w:r>
      <w:r w:rsidR="00BA199B" w:rsidRPr="00BA199B">
        <w:noBreakHyphen/>
      </w:r>
      <w:r w:rsidRPr="00BA199B">
        <w:t>state manufacturing facilities. General Electric Capital Corp. v. Renew (C.A.4 (S.C.) 2004) 122 Fed.Appx. 604, 2004 WL 2823249, Unreported. Labor And Employment 166; Labor And Employment 232</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2. Employees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 xml:space="preserve">The word </w:t>
      </w:r>
      <w:r w:rsidR="00BA199B" w:rsidRPr="00BA199B">
        <w:t>“</w:t>
      </w:r>
      <w:r w:rsidRPr="00BA199B">
        <w:t>employees</w:t>
      </w:r>
      <w:r w:rsidR="00BA199B" w:rsidRPr="00BA199B">
        <w:t>”</w:t>
      </w:r>
      <w:r w:rsidRPr="00BA199B">
        <w:t xml:space="preserve"> in this section does not include superintendent and bookkeeper of a mine. Malcomson v. Wappoo Mills, 1898, 86 F. 192.</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Employee working on commission, whose wages cannot be determined until employer</w:t>
      </w:r>
      <w:r w:rsidR="00BA199B" w:rsidRPr="00BA199B">
        <w:t>’</w:t>
      </w:r>
      <w:r w:rsidRPr="00BA199B">
        <w:t>s product has been sold, is not an employee entitled to a lien under this section against product manufactured by employer. Moody v. Dudley Lumber Co. (S.C. 1927) 138 S.C. 478, 137 S.E. 141.</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3. Salary or wages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 xml:space="preserve">Compensation to be received by employee in event he remained in employ of lumber company for definite period and rendered satisfactory service, was additional compensation earned by employee, and was not a mere </w:t>
      </w:r>
      <w:r w:rsidR="00BA199B" w:rsidRPr="00BA199B">
        <w:t>“</w:t>
      </w:r>
      <w:r w:rsidRPr="00BA199B">
        <w:t>bonus</w:t>
      </w:r>
      <w:r w:rsidR="00BA199B" w:rsidRPr="00BA199B">
        <w:t>”</w:t>
      </w:r>
      <w:r w:rsidRPr="00BA199B">
        <w:t xml:space="preserve"> but wages or salary within provisions of this section. Robertson v. Wise (S.C. 1929) 153 S.C. 459, 151 S.E. 87. Labor And Employment 232</w:t>
      </w:r>
    </w:p>
    <w:p w:rsidR="00BA199B" w:rsidRP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199B">
        <w:lastRenderedPageBreak/>
        <w:t xml:space="preserve">This section is not limited to </w:t>
      </w:r>
      <w:r w:rsidR="00BA199B" w:rsidRPr="00BA199B">
        <w:t>“</w:t>
      </w:r>
      <w:r w:rsidRPr="00BA199B">
        <w:t>laborers,</w:t>
      </w:r>
      <w:r w:rsidR="00BA199B" w:rsidRPr="00BA199B">
        <w:t>”</w:t>
      </w:r>
      <w:r w:rsidRPr="00BA199B">
        <w:t xml:space="preserve"> as that term is generally understood, namely, as those who work by the day with compensation usually referred to as wages. Robertson v. Wise (S.C. 1929) 153 S.C. 459, 151 S.E. 87.</w:t>
      </w:r>
    </w:p>
    <w:p w:rsidR="00BA199B" w:rsidRP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rPr>
          <w:b/>
        </w:rPr>
        <w:t xml:space="preserve">SECTION </w:t>
      </w:r>
      <w:r w:rsidR="00381314" w:rsidRPr="00BA199B">
        <w:rPr>
          <w:b/>
        </w:rPr>
        <w:t>29</w:t>
      </w:r>
      <w:r w:rsidRPr="00BA199B">
        <w:rPr>
          <w:b/>
        </w:rPr>
        <w:noBreakHyphen/>
      </w:r>
      <w:r w:rsidR="00381314" w:rsidRPr="00BA199B">
        <w:rPr>
          <w:b/>
        </w:rPr>
        <w:t>11</w:t>
      </w:r>
      <w:r w:rsidRPr="00BA199B">
        <w:rPr>
          <w:b/>
        </w:rPr>
        <w:noBreakHyphen/>
      </w:r>
      <w:r w:rsidR="00381314" w:rsidRPr="00BA199B">
        <w:rPr>
          <w:b/>
        </w:rPr>
        <w:t>20.</w:t>
      </w:r>
      <w:r w:rsidR="00381314" w:rsidRPr="00BA199B">
        <w:t xml:space="preserve"> Proceedings to enforce lien.</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314" w:rsidRPr="00BA199B">
        <w:t xml:space="preserve">: 1962 Code </w:t>
      </w:r>
      <w:r w:rsidRPr="00BA199B">
        <w:t xml:space="preserve">Section </w:t>
      </w:r>
      <w:r w:rsidR="00381314" w:rsidRPr="00BA199B">
        <w:t>45</w:t>
      </w:r>
      <w:r w:rsidRPr="00BA199B">
        <w:noBreakHyphen/>
      </w:r>
      <w:r w:rsidR="00381314" w:rsidRPr="00BA199B">
        <w:t xml:space="preserve">452; 1952 Code </w:t>
      </w:r>
      <w:r w:rsidRPr="00BA199B">
        <w:t xml:space="preserve">Section </w:t>
      </w:r>
      <w:r w:rsidR="00381314" w:rsidRPr="00BA199B">
        <w:t>45</w:t>
      </w:r>
      <w:r w:rsidRPr="00BA199B">
        <w:noBreakHyphen/>
      </w:r>
      <w:r w:rsidR="00381314" w:rsidRPr="00BA199B">
        <w:t xml:space="preserve">452; 1942 Code </w:t>
      </w:r>
      <w:r w:rsidRPr="00BA199B">
        <w:t xml:space="preserve">Section </w:t>
      </w:r>
      <w:r w:rsidR="00381314" w:rsidRPr="00BA199B">
        <w:t xml:space="preserve">8790; 1932 Code </w:t>
      </w:r>
      <w:r w:rsidRPr="00BA199B">
        <w:t xml:space="preserve">Section </w:t>
      </w:r>
      <w:r w:rsidR="00381314" w:rsidRPr="00BA199B">
        <w:t xml:space="preserve">8783; Civ. C. </w:t>
      </w:r>
      <w:r w:rsidRPr="00BA199B">
        <w:t>‘</w:t>
      </w:r>
      <w:r w:rsidR="00381314" w:rsidRPr="00BA199B">
        <w:t xml:space="preserve">22 </w:t>
      </w:r>
      <w:r w:rsidRPr="00BA199B">
        <w:t xml:space="preserve">Section </w:t>
      </w:r>
      <w:r w:rsidR="00381314" w:rsidRPr="00BA199B">
        <w:t xml:space="preserve">5704; Civ. C. </w:t>
      </w:r>
      <w:r w:rsidRPr="00BA199B">
        <w:t>‘</w:t>
      </w:r>
      <w:r w:rsidR="00381314" w:rsidRPr="00BA199B">
        <w:t xml:space="preserve">12 </w:t>
      </w:r>
      <w:r w:rsidRPr="00BA199B">
        <w:t xml:space="preserve">Section </w:t>
      </w:r>
      <w:r w:rsidR="00381314" w:rsidRPr="00BA199B">
        <w:t xml:space="preserve">4174; Civ. C. </w:t>
      </w:r>
      <w:r w:rsidRPr="00BA199B">
        <w:t>‘</w:t>
      </w:r>
      <w:r w:rsidR="00381314" w:rsidRPr="00BA199B">
        <w:t xml:space="preserve">02 </w:t>
      </w:r>
      <w:r w:rsidRPr="00BA199B">
        <w:t xml:space="preserve">Section </w:t>
      </w:r>
      <w:r w:rsidR="00381314" w:rsidRPr="00BA199B">
        <w:t>3070; 1897 (22) 502; 1906 (25) 81.</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Library References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Labor and Employment 236.</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Westlaw Topic No. 231H.</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NOTES OF DECISIONS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In general 1</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1. In general</w:t>
      </w:r>
    </w:p>
    <w:p w:rsidR="00BA199B" w:rsidRP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199B">
        <w:t>Cited in Robertson v. Wise (S.C. 1929) 153 S.C. 459, 151 S.E. 87.</w:t>
      </w:r>
    </w:p>
    <w:p w:rsidR="00BA199B" w:rsidRP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rPr>
          <w:b/>
        </w:rPr>
        <w:t xml:space="preserve">SECTION </w:t>
      </w:r>
      <w:r w:rsidR="00381314" w:rsidRPr="00BA199B">
        <w:rPr>
          <w:b/>
        </w:rPr>
        <w:t>29</w:t>
      </w:r>
      <w:r w:rsidRPr="00BA199B">
        <w:rPr>
          <w:b/>
        </w:rPr>
        <w:noBreakHyphen/>
      </w:r>
      <w:r w:rsidR="00381314" w:rsidRPr="00BA199B">
        <w:rPr>
          <w:b/>
        </w:rPr>
        <w:t>11</w:t>
      </w:r>
      <w:r w:rsidRPr="00BA199B">
        <w:rPr>
          <w:b/>
        </w:rPr>
        <w:noBreakHyphen/>
      </w:r>
      <w:r w:rsidR="00381314" w:rsidRPr="00BA199B">
        <w:rPr>
          <w:b/>
        </w:rPr>
        <w:t>30.</w:t>
      </w:r>
      <w:r w:rsidR="00381314" w:rsidRPr="00BA199B">
        <w:t xml:space="preserve"> Seizure and disposition of property.</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314" w:rsidRPr="00BA199B">
        <w:t xml:space="preserve">: 1962 Code </w:t>
      </w:r>
      <w:r w:rsidRPr="00BA199B">
        <w:t xml:space="preserve">Section </w:t>
      </w:r>
      <w:r w:rsidR="00381314" w:rsidRPr="00BA199B">
        <w:t>45</w:t>
      </w:r>
      <w:r w:rsidRPr="00BA199B">
        <w:noBreakHyphen/>
      </w:r>
      <w:r w:rsidR="00381314" w:rsidRPr="00BA199B">
        <w:t xml:space="preserve">453; 1952 Code </w:t>
      </w:r>
      <w:r w:rsidRPr="00BA199B">
        <w:t xml:space="preserve">Section </w:t>
      </w:r>
      <w:r w:rsidR="00381314" w:rsidRPr="00BA199B">
        <w:t>45</w:t>
      </w:r>
      <w:r w:rsidRPr="00BA199B">
        <w:noBreakHyphen/>
      </w:r>
      <w:r w:rsidR="00381314" w:rsidRPr="00BA199B">
        <w:t xml:space="preserve">453; 1942 Code </w:t>
      </w:r>
      <w:r w:rsidRPr="00BA199B">
        <w:t xml:space="preserve">Section </w:t>
      </w:r>
      <w:r w:rsidR="00381314" w:rsidRPr="00BA199B">
        <w:t xml:space="preserve">8790; 1932 Code </w:t>
      </w:r>
      <w:r w:rsidRPr="00BA199B">
        <w:t xml:space="preserve">Section </w:t>
      </w:r>
      <w:r w:rsidR="00381314" w:rsidRPr="00BA199B">
        <w:t xml:space="preserve">8783; Civ. C. </w:t>
      </w:r>
      <w:r w:rsidRPr="00BA199B">
        <w:t>‘</w:t>
      </w:r>
      <w:r w:rsidR="00381314" w:rsidRPr="00BA199B">
        <w:t xml:space="preserve">22 </w:t>
      </w:r>
      <w:r w:rsidRPr="00BA199B">
        <w:t xml:space="preserve">Section </w:t>
      </w:r>
      <w:r w:rsidR="00381314" w:rsidRPr="00BA199B">
        <w:t xml:space="preserve">5704; Civ. C. </w:t>
      </w:r>
      <w:r w:rsidRPr="00BA199B">
        <w:t>‘</w:t>
      </w:r>
      <w:r w:rsidR="00381314" w:rsidRPr="00BA199B">
        <w:t xml:space="preserve">12 </w:t>
      </w:r>
      <w:r w:rsidRPr="00BA199B">
        <w:t xml:space="preserve">Section </w:t>
      </w:r>
      <w:r w:rsidR="00381314" w:rsidRPr="00BA199B">
        <w:t xml:space="preserve">4174; Civ. C. </w:t>
      </w:r>
      <w:r w:rsidRPr="00BA199B">
        <w:t>‘</w:t>
      </w:r>
      <w:r w:rsidR="00381314" w:rsidRPr="00BA199B">
        <w:t xml:space="preserve">02 </w:t>
      </w:r>
      <w:r w:rsidRPr="00BA199B">
        <w:t xml:space="preserve">Section </w:t>
      </w:r>
      <w:r w:rsidR="00381314" w:rsidRPr="00BA199B">
        <w:t>3070; 1897 (22) 502; 1906 (25) 81.</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Library References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Labor and Employment 236.</w:t>
      </w:r>
    </w:p>
    <w:p w:rsidR="00BA199B" w:rsidRP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199B">
        <w:t>Westlaw Topic No. 231H.</w:t>
      </w:r>
    </w:p>
    <w:p w:rsidR="00BA199B" w:rsidRP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rPr>
          <w:b/>
        </w:rPr>
        <w:t xml:space="preserve">SECTION </w:t>
      </w:r>
      <w:r w:rsidR="00381314" w:rsidRPr="00BA199B">
        <w:rPr>
          <w:b/>
        </w:rPr>
        <w:t>29</w:t>
      </w:r>
      <w:r w:rsidRPr="00BA199B">
        <w:rPr>
          <w:b/>
        </w:rPr>
        <w:noBreakHyphen/>
      </w:r>
      <w:r w:rsidR="00381314" w:rsidRPr="00BA199B">
        <w:rPr>
          <w:b/>
        </w:rPr>
        <w:t>11</w:t>
      </w:r>
      <w:r w:rsidRPr="00BA199B">
        <w:rPr>
          <w:b/>
        </w:rPr>
        <w:noBreakHyphen/>
      </w:r>
      <w:r w:rsidR="00381314" w:rsidRPr="00BA199B">
        <w:rPr>
          <w:b/>
        </w:rPr>
        <w:t>40.</w:t>
      </w:r>
      <w:r w:rsidR="00381314" w:rsidRPr="00BA199B">
        <w:t xml:space="preserve"> Costs and fees of officers.</w:t>
      </w:r>
    </w:p>
    <w:p w:rsidR="00BA199B" w:rsidRDefault="00381314"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99B">
        <w:tab/>
        <w:t>The costs and fees of officers in proceedings under this chapter shall be the same as in cases of attachment under this Code.</w:t>
      </w: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99B" w:rsidRDefault="00BA199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1314" w:rsidRPr="00BA199B">
        <w:t xml:space="preserve">: 1962 Code </w:t>
      </w:r>
      <w:r w:rsidRPr="00BA199B">
        <w:t xml:space="preserve">Section </w:t>
      </w:r>
      <w:r w:rsidR="00381314" w:rsidRPr="00BA199B">
        <w:t>45</w:t>
      </w:r>
      <w:r w:rsidRPr="00BA199B">
        <w:noBreakHyphen/>
      </w:r>
      <w:r w:rsidR="00381314" w:rsidRPr="00BA199B">
        <w:t xml:space="preserve">454; 1952 Code </w:t>
      </w:r>
      <w:r w:rsidRPr="00BA199B">
        <w:t xml:space="preserve">Section </w:t>
      </w:r>
      <w:r w:rsidR="00381314" w:rsidRPr="00BA199B">
        <w:t>45</w:t>
      </w:r>
      <w:r w:rsidRPr="00BA199B">
        <w:noBreakHyphen/>
      </w:r>
      <w:r w:rsidR="00381314" w:rsidRPr="00BA199B">
        <w:t xml:space="preserve">454; 1942 Code </w:t>
      </w:r>
      <w:r w:rsidRPr="00BA199B">
        <w:t xml:space="preserve">Section </w:t>
      </w:r>
      <w:r w:rsidR="00381314" w:rsidRPr="00BA199B">
        <w:t xml:space="preserve">8791; 1932 Code </w:t>
      </w:r>
      <w:r w:rsidRPr="00BA199B">
        <w:t xml:space="preserve">Section </w:t>
      </w:r>
      <w:r w:rsidR="00381314" w:rsidRPr="00BA199B">
        <w:t xml:space="preserve">8784; Civ. C. </w:t>
      </w:r>
      <w:r w:rsidRPr="00BA199B">
        <w:t>‘</w:t>
      </w:r>
      <w:r w:rsidR="00381314" w:rsidRPr="00BA199B">
        <w:t xml:space="preserve">22 </w:t>
      </w:r>
      <w:r w:rsidRPr="00BA199B">
        <w:t xml:space="preserve">Section </w:t>
      </w:r>
      <w:r w:rsidR="00381314" w:rsidRPr="00BA199B">
        <w:t xml:space="preserve">5705; Civ. C. </w:t>
      </w:r>
      <w:r w:rsidRPr="00BA199B">
        <w:t>‘</w:t>
      </w:r>
      <w:r w:rsidR="00381314" w:rsidRPr="00BA199B">
        <w:t xml:space="preserve">12 </w:t>
      </w:r>
      <w:r w:rsidRPr="00BA199B">
        <w:t xml:space="preserve">Section </w:t>
      </w:r>
      <w:r w:rsidR="00381314" w:rsidRPr="00BA199B">
        <w:t xml:space="preserve">4175; Civ. C. </w:t>
      </w:r>
      <w:r w:rsidRPr="00BA199B">
        <w:t>‘</w:t>
      </w:r>
      <w:r w:rsidR="00381314" w:rsidRPr="00BA199B">
        <w:t xml:space="preserve">02 </w:t>
      </w:r>
      <w:r w:rsidRPr="00BA199B">
        <w:t xml:space="preserve">Section </w:t>
      </w:r>
      <w:r w:rsidR="00381314" w:rsidRPr="00BA199B">
        <w:t>3071; 1897 (22) 502.</w:t>
      </w:r>
    </w:p>
    <w:p w:rsidR="00A84CDB" w:rsidRPr="00BA199B" w:rsidRDefault="00A84CDB" w:rsidP="00BA1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A199B" w:rsidSect="00BA19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9B" w:rsidRDefault="00BA199B" w:rsidP="00BA199B">
      <w:r>
        <w:separator/>
      </w:r>
    </w:p>
  </w:endnote>
  <w:endnote w:type="continuationSeparator" w:id="0">
    <w:p w:rsidR="00BA199B" w:rsidRDefault="00BA199B" w:rsidP="00BA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9B" w:rsidRPr="00BA199B" w:rsidRDefault="00BA199B" w:rsidP="00BA1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9B" w:rsidRPr="00BA199B" w:rsidRDefault="00BA199B" w:rsidP="00BA1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9B" w:rsidRPr="00BA199B" w:rsidRDefault="00BA199B" w:rsidP="00BA1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9B" w:rsidRDefault="00BA199B" w:rsidP="00BA199B">
      <w:r>
        <w:separator/>
      </w:r>
    </w:p>
  </w:footnote>
  <w:footnote w:type="continuationSeparator" w:id="0">
    <w:p w:rsidR="00BA199B" w:rsidRDefault="00BA199B" w:rsidP="00BA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9B" w:rsidRPr="00BA199B" w:rsidRDefault="00BA199B" w:rsidP="00BA1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9B" w:rsidRPr="00BA199B" w:rsidRDefault="00BA199B" w:rsidP="00BA1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9B" w:rsidRPr="00BA199B" w:rsidRDefault="00BA199B" w:rsidP="00BA1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4"/>
    <w:rsid w:val="000D4DF5"/>
    <w:rsid w:val="001745C9"/>
    <w:rsid w:val="001849AB"/>
    <w:rsid w:val="00251EE4"/>
    <w:rsid w:val="002E698F"/>
    <w:rsid w:val="002F2F5A"/>
    <w:rsid w:val="00337472"/>
    <w:rsid w:val="00381314"/>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199B"/>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F61F-2789-44A2-A280-D8A9AB07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1314"/>
    <w:rPr>
      <w:rFonts w:ascii="Courier New" w:eastAsiaTheme="minorEastAsia" w:hAnsi="Courier New" w:cs="Courier New"/>
      <w:sz w:val="20"/>
      <w:szCs w:val="20"/>
    </w:rPr>
  </w:style>
  <w:style w:type="paragraph" w:styleId="Header">
    <w:name w:val="header"/>
    <w:basedOn w:val="Normal"/>
    <w:link w:val="HeaderChar"/>
    <w:uiPriority w:val="99"/>
    <w:unhideWhenUsed/>
    <w:rsid w:val="00BA199B"/>
    <w:pPr>
      <w:tabs>
        <w:tab w:val="center" w:pos="4680"/>
        <w:tab w:val="right" w:pos="9360"/>
      </w:tabs>
    </w:pPr>
  </w:style>
  <w:style w:type="character" w:customStyle="1" w:styleId="HeaderChar">
    <w:name w:val="Header Char"/>
    <w:basedOn w:val="DefaultParagraphFont"/>
    <w:link w:val="Header"/>
    <w:uiPriority w:val="99"/>
    <w:rsid w:val="00BA199B"/>
    <w:rPr>
      <w:rFonts w:cs="Times New Roman"/>
    </w:rPr>
  </w:style>
  <w:style w:type="paragraph" w:styleId="Footer">
    <w:name w:val="footer"/>
    <w:basedOn w:val="Normal"/>
    <w:link w:val="FooterChar"/>
    <w:uiPriority w:val="99"/>
    <w:unhideWhenUsed/>
    <w:rsid w:val="00BA199B"/>
    <w:pPr>
      <w:tabs>
        <w:tab w:val="center" w:pos="4680"/>
        <w:tab w:val="right" w:pos="9360"/>
      </w:tabs>
    </w:pPr>
  </w:style>
  <w:style w:type="character" w:customStyle="1" w:styleId="FooterChar">
    <w:name w:val="Footer Char"/>
    <w:basedOn w:val="DefaultParagraphFont"/>
    <w:link w:val="Footer"/>
    <w:uiPriority w:val="99"/>
    <w:rsid w:val="00BA19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912</Words>
  <Characters>5201</Characters>
  <Application>Microsoft Office Word</Application>
  <DocSecurity>0</DocSecurity>
  <Lines>43</Lines>
  <Paragraphs>12</Paragraphs>
  <ScaleCrop>false</ScaleCrop>
  <Company>Legislative Services Agency (LSA)</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