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4F62">
        <w:rPr>
          <w:lang w:val="en-PH"/>
        </w:rPr>
        <w:t>CHAPTER 1</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4F62">
        <w:rPr>
          <w:lang w:val="en-PH"/>
        </w:rPr>
        <w:t>State Policy and General Provisions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Showing the sections in former Chapter 7, Title 20 from which the sections in this chapter were derived.</w:t>
      </w:r>
    </w:p>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2059AC" w:rsidRPr="00834F62"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059AC" w:rsidRPr="00834F6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4F62"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F62">
              <w:rPr>
                <w:rFonts w:eastAsia="Times New Roman"/>
                <w:szCs w:val="20"/>
              </w:rPr>
              <w:t>New</w:t>
            </w:r>
          </w:p>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F62">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34F62"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F62">
              <w:rPr>
                <w:rFonts w:eastAsia="Times New Roman"/>
                <w:szCs w:val="20"/>
              </w:rPr>
              <w:t>Former</w:t>
            </w:r>
          </w:p>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F62">
              <w:rPr>
                <w:rFonts w:eastAsia="Times New Roman"/>
                <w:szCs w:val="20"/>
              </w:rPr>
              <w:t>Section</w:t>
            </w:r>
          </w:p>
        </w:tc>
      </w:tr>
      <w:tr w:rsidR="002059AC" w:rsidRPr="00834F6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F62">
              <w:rPr>
                <w:rFonts w:eastAsia="Times New Roman"/>
                <w:szCs w:val="20"/>
              </w:rPr>
              <w:t>63</w:t>
            </w:r>
            <w:r w:rsidR="00834F62" w:rsidRPr="00834F62">
              <w:rPr>
                <w:rFonts w:eastAsia="Times New Roman"/>
                <w:szCs w:val="20"/>
              </w:rPr>
              <w:noBreakHyphen/>
            </w:r>
            <w:r w:rsidRPr="00834F62">
              <w:rPr>
                <w:rFonts w:eastAsia="Times New Roman"/>
                <w:szCs w:val="20"/>
              </w:rPr>
              <w:t>1</w:t>
            </w:r>
            <w:r w:rsidR="00834F62" w:rsidRPr="00834F62">
              <w:rPr>
                <w:rFonts w:eastAsia="Times New Roman"/>
                <w:szCs w:val="20"/>
              </w:rPr>
              <w:noBreakHyphen/>
            </w:r>
            <w:r w:rsidRPr="00834F62">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F62">
              <w:rPr>
                <w:rFonts w:eastAsia="Times New Roman"/>
                <w:szCs w:val="20"/>
              </w:rPr>
              <w:t>20</w:t>
            </w:r>
            <w:r w:rsidR="00834F62" w:rsidRPr="00834F62">
              <w:rPr>
                <w:rFonts w:eastAsia="Times New Roman"/>
                <w:szCs w:val="20"/>
              </w:rPr>
              <w:noBreakHyphen/>
            </w:r>
            <w:r w:rsidRPr="00834F62">
              <w:rPr>
                <w:rFonts w:eastAsia="Times New Roman"/>
                <w:szCs w:val="20"/>
              </w:rPr>
              <w:t>7</w:t>
            </w:r>
            <w:r w:rsidR="00834F62" w:rsidRPr="00834F62">
              <w:rPr>
                <w:rFonts w:eastAsia="Times New Roman"/>
                <w:szCs w:val="20"/>
              </w:rPr>
              <w:noBreakHyphen/>
            </w:r>
            <w:r w:rsidRPr="00834F62">
              <w:rPr>
                <w:rFonts w:eastAsia="Times New Roman"/>
                <w:szCs w:val="20"/>
              </w:rPr>
              <w:t>10</w:t>
            </w:r>
          </w:p>
        </w:tc>
      </w:tr>
      <w:tr w:rsidR="002059AC" w:rsidRPr="00834F6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F62">
              <w:rPr>
                <w:rFonts w:eastAsia="Times New Roman"/>
                <w:szCs w:val="20"/>
              </w:rPr>
              <w:t>63</w:t>
            </w:r>
            <w:r w:rsidR="00834F62" w:rsidRPr="00834F62">
              <w:rPr>
                <w:rFonts w:eastAsia="Times New Roman"/>
                <w:szCs w:val="20"/>
              </w:rPr>
              <w:noBreakHyphen/>
            </w:r>
            <w:r w:rsidRPr="00834F62">
              <w:rPr>
                <w:rFonts w:eastAsia="Times New Roman"/>
                <w:szCs w:val="20"/>
              </w:rPr>
              <w:t>1</w:t>
            </w:r>
            <w:r w:rsidR="00834F62" w:rsidRPr="00834F62">
              <w:rPr>
                <w:rFonts w:eastAsia="Times New Roman"/>
                <w:szCs w:val="20"/>
              </w:rPr>
              <w:noBreakHyphen/>
            </w:r>
            <w:r w:rsidRPr="00834F62">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F62">
              <w:rPr>
                <w:rFonts w:eastAsia="Times New Roman"/>
                <w:szCs w:val="20"/>
              </w:rPr>
              <w:t>20</w:t>
            </w:r>
            <w:r w:rsidR="00834F62" w:rsidRPr="00834F62">
              <w:rPr>
                <w:rFonts w:eastAsia="Times New Roman"/>
                <w:szCs w:val="20"/>
              </w:rPr>
              <w:noBreakHyphen/>
            </w:r>
            <w:r w:rsidRPr="00834F62">
              <w:rPr>
                <w:rFonts w:eastAsia="Times New Roman"/>
                <w:szCs w:val="20"/>
              </w:rPr>
              <w:t>7</w:t>
            </w:r>
            <w:r w:rsidR="00834F62" w:rsidRPr="00834F62">
              <w:rPr>
                <w:rFonts w:eastAsia="Times New Roman"/>
                <w:szCs w:val="20"/>
              </w:rPr>
              <w:noBreakHyphen/>
            </w:r>
            <w:r w:rsidRPr="00834F62">
              <w:rPr>
                <w:rFonts w:eastAsia="Times New Roman"/>
                <w:szCs w:val="20"/>
              </w:rPr>
              <w:t>20</w:t>
            </w:r>
          </w:p>
        </w:tc>
      </w:tr>
      <w:tr w:rsidR="002059AC" w:rsidRPr="00834F6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F62">
              <w:rPr>
                <w:rFonts w:eastAsia="Times New Roman"/>
                <w:szCs w:val="20"/>
              </w:rPr>
              <w:t>63</w:t>
            </w:r>
            <w:r w:rsidR="00834F62" w:rsidRPr="00834F62">
              <w:rPr>
                <w:rFonts w:eastAsia="Times New Roman"/>
                <w:szCs w:val="20"/>
              </w:rPr>
              <w:noBreakHyphen/>
            </w:r>
            <w:r w:rsidRPr="00834F62">
              <w:rPr>
                <w:rFonts w:eastAsia="Times New Roman"/>
                <w:szCs w:val="20"/>
              </w:rPr>
              <w:t>1</w:t>
            </w:r>
            <w:r w:rsidR="00834F62" w:rsidRPr="00834F62">
              <w:rPr>
                <w:rFonts w:eastAsia="Times New Roman"/>
                <w:szCs w:val="20"/>
              </w:rPr>
              <w:noBreakHyphen/>
            </w:r>
            <w:r w:rsidRPr="00834F62">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F62">
              <w:rPr>
                <w:rFonts w:eastAsia="Times New Roman"/>
                <w:szCs w:val="20"/>
              </w:rPr>
              <w:t>20</w:t>
            </w:r>
            <w:r w:rsidR="00834F62" w:rsidRPr="00834F62">
              <w:rPr>
                <w:rFonts w:eastAsia="Times New Roman"/>
                <w:szCs w:val="20"/>
              </w:rPr>
              <w:noBreakHyphen/>
            </w:r>
            <w:r w:rsidRPr="00834F62">
              <w:rPr>
                <w:rFonts w:eastAsia="Times New Roman"/>
                <w:szCs w:val="20"/>
              </w:rPr>
              <w:t>7</w:t>
            </w:r>
            <w:r w:rsidR="00834F62" w:rsidRPr="00834F62">
              <w:rPr>
                <w:rFonts w:eastAsia="Times New Roman"/>
                <w:szCs w:val="20"/>
              </w:rPr>
              <w:noBreakHyphen/>
            </w:r>
            <w:r w:rsidRPr="00834F62">
              <w:rPr>
                <w:rFonts w:eastAsia="Times New Roman"/>
                <w:szCs w:val="20"/>
              </w:rPr>
              <w:t>470</w:t>
            </w:r>
          </w:p>
        </w:tc>
      </w:tr>
      <w:tr w:rsidR="002059AC" w:rsidRPr="00834F6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34F62">
              <w:rPr>
                <w:rFonts w:eastAsia="Times New Roman"/>
                <w:szCs w:val="20"/>
              </w:rPr>
              <w:t>63</w:t>
            </w:r>
            <w:r w:rsidR="00834F62" w:rsidRPr="00834F62">
              <w:rPr>
                <w:rFonts w:eastAsia="Times New Roman"/>
                <w:szCs w:val="20"/>
              </w:rPr>
              <w:noBreakHyphen/>
            </w:r>
            <w:r w:rsidRPr="00834F62">
              <w:rPr>
                <w:rFonts w:eastAsia="Times New Roman"/>
                <w:szCs w:val="20"/>
              </w:rPr>
              <w:t>1</w:t>
            </w:r>
            <w:r w:rsidR="00834F62" w:rsidRPr="00834F62">
              <w:rPr>
                <w:rFonts w:eastAsia="Times New Roman"/>
                <w:szCs w:val="20"/>
              </w:rPr>
              <w:noBreakHyphen/>
            </w:r>
            <w:r w:rsidRPr="00834F62">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059AC"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34F62">
              <w:rPr>
                <w:rFonts w:eastAsia="Times New Roman"/>
                <w:szCs w:val="20"/>
              </w:rPr>
              <w:t>20</w:t>
            </w:r>
            <w:r w:rsidR="00834F62" w:rsidRPr="00834F62">
              <w:rPr>
                <w:rFonts w:eastAsia="Times New Roman"/>
                <w:szCs w:val="20"/>
              </w:rPr>
              <w:noBreakHyphen/>
            </w:r>
            <w:r w:rsidRPr="00834F62">
              <w:rPr>
                <w:rFonts w:eastAsia="Times New Roman"/>
                <w:szCs w:val="20"/>
              </w:rPr>
              <w:t>7</w:t>
            </w:r>
            <w:r w:rsidR="00834F62" w:rsidRPr="00834F62">
              <w:rPr>
                <w:rFonts w:eastAsia="Times New Roman"/>
                <w:szCs w:val="20"/>
              </w:rPr>
              <w:noBreakHyphen/>
            </w:r>
            <w:r w:rsidRPr="00834F62">
              <w:rPr>
                <w:rFonts w:eastAsia="Times New Roman"/>
                <w:szCs w:val="20"/>
              </w:rPr>
              <w:t>30</w:t>
            </w:r>
          </w:p>
        </w:tc>
      </w:tr>
    </w:tbl>
    <w:p w:rsidR="00834F62" w:rsidRP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834F62" w:rsidRP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b/>
          <w:lang w:val="en-PH"/>
        </w:rPr>
        <w:t xml:space="preserve">SECTION </w:t>
      </w:r>
      <w:r w:rsidR="002059AC" w:rsidRPr="00834F62">
        <w:rPr>
          <w:b/>
          <w:lang w:val="en-PH"/>
        </w:rPr>
        <w:t>63</w:t>
      </w:r>
      <w:r w:rsidRPr="00834F62">
        <w:rPr>
          <w:b/>
          <w:lang w:val="en-PH"/>
        </w:rPr>
        <w:noBreakHyphen/>
      </w:r>
      <w:r w:rsidR="002059AC" w:rsidRPr="00834F62">
        <w:rPr>
          <w:b/>
          <w:lang w:val="en-PH"/>
        </w:rPr>
        <w:t>1</w:t>
      </w:r>
      <w:r w:rsidRPr="00834F62">
        <w:rPr>
          <w:b/>
          <w:lang w:val="en-PH"/>
        </w:rPr>
        <w:noBreakHyphen/>
      </w:r>
      <w:r w:rsidR="002059AC" w:rsidRPr="00834F62">
        <w:rPr>
          <w:b/>
          <w:lang w:val="en-PH"/>
        </w:rPr>
        <w:t>10.</w:t>
      </w:r>
      <w:r w:rsidR="002059AC" w:rsidRPr="00834F62">
        <w:rPr>
          <w:lang w:val="en-PH"/>
        </w:rPr>
        <w:t xml:space="preserve"> Short title.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This title may be cited as the </w:t>
      </w:r>
      <w:r w:rsidR="00834F62" w:rsidRPr="00834F62">
        <w:rPr>
          <w:lang w:val="en-PH"/>
        </w:rPr>
        <w:t>“</w:t>
      </w:r>
      <w:r w:rsidRPr="00834F62">
        <w:rPr>
          <w:lang w:val="en-PH"/>
        </w:rPr>
        <w:t>South Carolina Children</w:t>
      </w:r>
      <w:r w:rsidR="00834F62" w:rsidRPr="00834F62">
        <w:rPr>
          <w:lang w:val="en-PH"/>
        </w:rPr>
        <w:t>’</w:t>
      </w:r>
      <w:r w:rsidRPr="00834F62">
        <w:rPr>
          <w:lang w:val="en-PH"/>
        </w:rPr>
        <w:t>s Code</w:t>
      </w:r>
      <w:r w:rsidR="00834F62" w:rsidRPr="00834F62">
        <w:rPr>
          <w:lang w:val="en-PH"/>
        </w:rPr>
        <w:t>”</w:t>
      </w:r>
      <w:r w:rsidRPr="00834F62">
        <w:rPr>
          <w:lang w:val="en-PH"/>
        </w:rPr>
        <w:t>.</w:t>
      </w: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59AC" w:rsidRPr="00834F62">
        <w:rPr>
          <w:lang w:val="en-PH"/>
        </w:rPr>
        <w:t xml:space="preserve">: 2008 Act No. 361, </w:t>
      </w:r>
      <w:r w:rsidRPr="00834F62">
        <w:rPr>
          <w:lang w:val="en-PH"/>
        </w:rPr>
        <w:t xml:space="preserve">Section </w:t>
      </w:r>
      <w:r w:rsidR="002059AC" w:rsidRPr="00834F62">
        <w:rPr>
          <w:lang w:val="en-PH"/>
        </w:rPr>
        <w:t>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CROSS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Duty of the State Department of Social Services to supervise and administer the child protective services referred to in this chapter, see </w:t>
      </w:r>
      <w:r w:rsidR="00834F62" w:rsidRPr="00834F62">
        <w:rPr>
          <w:lang w:val="en-PH"/>
        </w:rPr>
        <w:t xml:space="preserve">Section </w:t>
      </w:r>
      <w:r w:rsidRPr="00834F62">
        <w:rPr>
          <w:lang w:val="en-PH"/>
        </w:rPr>
        <w:t>43</w:t>
      </w:r>
      <w:r w:rsidR="00834F62" w:rsidRPr="00834F62">
        <w:rPr>
          <w:lang w:val="en-PH"/>
        </w:rPr>
        <w:noBreakHyphen/>
      </w:r>
      <w:r w:rsidRPr="00834F62">
        <w:rPr>
          <w:lang w:val="en-PH"/>
        </w:rPr>
        <w:t>1</w:t>
      </w:r>
      <w:r w:rsidR="00834F62" w:rsidRPr="00834F62">
        <w:rPr>
          <w:lang w:val="en-PH"/>
        </w:rPr>
        <w:noBreakHyphen/>
      </w:r>
      <w:r w:rsidRPr="00834F62">
        <w:rPr>
          <w:lang w:val="en-PH"/>
        </w:rPr>
        <w:t>80.</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Library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Infants 132.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Westlaw Topic No. 211.</w:t>
      </w:r>
    </w:p>
    <w:p w:rsidR="00834F62"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F62">
        <w:rPr>
          <w:lang w:val="en-PH"/>
        </w:rPr>
        <w:t xml:space="preserve">C.J.S. Infants </w:t>
      </w:r>
      <w:r w:rsidR="00834F62" w:rsidRPr="00834F62">
        <w:rPr>
          <w:lang w:val="en-PH"/>
        </w:rPr>
        <w:t xml:space="preserve">Sections </w:t>
      </w:r>
      <w:r w:rsidRPr="00834F62">
        <w:rPr>
          <w:lang w:val="en-PH"/>
        </w:rPr>
        <w:t xml:space="preserve"> 12 to 13, 23, 26 to 28.</w:t>
      </w:r>
    </w:p>
    <w:p w:rsidR="00834F62" w:rsidRP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b/>
          <w:lang w:val="en-PH"/>
        </w:rPr>
        <w:t xml:space="preserve">SECTION </w:t>
      </w:r>
      <w:r w:rsidR="002059AC" w:rsidRPr="00834F62">
        <w:rPr>
          <w:b/>
          <w:lang w:val="en-PH"/>
        </w:rPr>
        <w:t>63</w:t>
      </w:r>
      <w:r w:rsidRPr="00834F62">
        <w:rPr>
          <w:b/>
          <w:lang w:val="en-PH"/>
        </w:rPr>
        <w:noBreakHyphen/>
      </w:r>
      <w:r w:rsidR="002059AC" w:rsidRPr="00834F62">
        <w:rPr>
          <w:b/>
          <w:lang w:val="en-PH"/>
        </w:rPr>
        <w:t>1</w:t>
      </w:r>
      <w:r w:rsidRPr="00834F62">
        <w:rPr>
          <w:b/>
          <w:lang w:val="en-PH"/>
        </w:rPr>
        <w:noBreakHyphen/>
      </w:r>
      <w:r w:rsidR="002059AC" w:rsidRPr="00834F62">
        <w:rPr>
          <w:b/>
          <w:lang w:val="en-PH"/>
        </w:rPr>
        <w:t>20.</w:t>
      </w:r>
      <w:r w:rsidR="002059AC" w:rsidRPr="00834F62">
        <w:rPr>
          <w:lang w:val="en-PH"/>
        </w:rPr>
        <w:t xml:space="preserve"> Policy.</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(A) A children</w:t>
      </w:r>
      <w:r w:rsidR="00834F62" w:rsidRPr="00834F62">
        <w:rPr>
          <w:lang w:val="en-PH"/>
        </w:rPr>
        <w:t>’</w:t>
      </w:r>
      <w:r w:rsidRPr="00834F62">
        <w:rPr>
          <w:lang w:val="en-PH"/>
        </w:rPr>
        <w:t>s policy is hereby established for this State.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(C) It shall be the policy of this State to concentrate on the prevention of children</w:t>
      </w:r>
      <w:r w:rsidR="00834F62" w:rsidRPr="00834F62">
        <w:rPr>
          <w:lang w:val="en-PH"/>
        </w:rPr>
        <w:t>’</w:t>
      </w:r>
      <w:r w:rsidRPr="00834F62">
        <w:rPr>
          <w:lang w:val="en-PH"/>
        </w:rPr>
        <w:t>s problems as the most important strategy which can be planned and implemented on behalf of children and their families. The State shall encourage community involvement in the provision of children</w:t>
      </w:r>
      <w:r w:rsidR="00834F62" w:rsidRPr="00834F62">
        <w:rPr>
          <w:lang w:val="en-PH"/>
        </w:rPr>
        <w:t>’</w:t>
      </w:r>
      <w:r w:rsidRPr="00834F62">
        <w:rPr>
          <w:lang w:val="en-PH"/>
        </w:rPr>
        <w:t>s services including, as an integral part, local government, public and private voluntary groups, public and private nonprofit groups and private</w:t>
      </w:r>
      <w:r w:rsidR="00834F62" w:rsidRPr="00834F62">
        <w:rPr>
          <w:lang w:val="en-PH"/>
        </w:rPr>
        <w:noBreakHyphen/>
      </w:r>
      <w:r w:rsidRPr="00834F62">
        <w:rPr>
          <w:lang w:val="en-PH"/>
        </w:rPr>
        <w:t>for</w:t>
      </w:r>
      <w:r w:rsidR="00834F62" w:rsidRPr="00834F62">
        <w:rPr>
          <w:lang w:val="en-PH"/>
        </w:rPr>
        <w:noBreakHyphen/>
      </w:r>
      <w:r w:rsidRPr="00834F62">
        <w:rPr>
          <w:lang w:val="en-PH"/>
        </w:rPr>
        <w:t>profit groups in order to encourage and provide innovative strategies for children</w:t>
      </w:r>
      <w:r w:rsidR="00834F62" w:rsidRPr="00834F62">
        <w:rPr>
          <w:lang w:val="en-PH"/>
        </w:rPr>
        <w:t>’</w:t>
      </w:r>
      <w:r w:rsidRPr="00834F62">
        <w:rPr>
          <w:lang w:val="en-PH"/>
        </w:rPr>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834F62" w:rsidRPr="00834F62">
        <w:rPr>
          <w:lang w:val="en-PH"/>
        </w:rPr>
        <w:t>’</w:t>
      </w:r>
      <w:r w:rsidRPr="00834F62">
        <w:rPr>
          <w:lang w:val="en-PH"/>
        </w:rPr>
        <w:t>s services agencies to recognize that their jurisdiction in meeting these children</w:t>
      </w:r>
      <w:r w:rsidR="00834F62" w:rsidRPr="00834F62">
        <w:rPr>
          <w:lang w:val="en-PH"/>
        </w:rPr>
        <w:t>’</w:t>
      </w:r>
      <w:r w:rsidRPr="00834F62">
        <w:rPr>
          <w:lang w:val="en-PH"/>
        </w:rPr>
        <w:t>s needs is not mutually exclusive.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w:t>
      </w:r>
      <w:r w:rsidRPr="00834F62">
        <w:rPr>
          <w:lang w:val="en-PH"/>
        </w:rPr>
        <w:lastRenderedPageBreak/>
        <w:t>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(E) The children</w:t>
      </w:r>
      <w:r w:rsidR="00834F62" w:rsidRPr="00834F62">
        <w:rPr>
          <w:lang w:val="en-PH"/>
        </w:rPr>
        <w:t>’</w:t>
      </w:r>
      <w:r w:rsidRPr="00834F62">
        <w:rPr>
          <w:lang w:val="en-PH"/>
        </w:rPr>
        <w:t>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834F62" w:rsidRPr="00834F62">
        <w:rPr>
          <w:lang w:val="en-PH"/>
        </w:rPr>
        <w:t>’</w:t>
      </w:r>
      <w:r w:rsidRPr="00834F62">
        <w:rPr>
          <w:lang w:val="en-PH"/>
        </w:rPr>
        <w:t>s services and programs. In addition, each agency, department, institution, committee, and commission which must submit pursuant to law an annual report to the General Assembly shall include as part of the report a comprehensive statement of how its children</w:t>
      </w:r>
      <w:r w:rsidR="00834F62" w:rsidRPr="00834F62">
        <w:rPr>
          <w:lang w:val="en-PH"/>
        </w:rPr>
        <w:t>’</w:t>
      </w:r>
      <w:r w:rsidRPr="00834F62">
        <w:rPr>
          <w:lang w:val="en-PH"/>
        </w:rPr>
        <w:t>s services and programs contributed to the implementation of this policy. Copies of all these budget requests and annual reports must be provided to the Office of the Governor by the agency, department, institution, committee, or commission.</w:t>
      </w: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59AC" w:rsidRPr="00834F62">
        <w:rPr>
          <w:lang w:val="en-PH"/>
        </w:rPr>
        <w:t xml:space="preserve">: 2008 Act No. 361, </w:t>
      </w:r>
      <w:r w:rsidRPr="00834F62">
        <w:rPr>
          <w:lang w:val="en-PH"/>
        </w:rPr>
        <w:t xml:space="preserve">Section </w:t>
      </w:r>
      <w:r w:rsidR="002059AC" w:rsidRPr="00834F62">
        <w:rPr>
          <w:lang w:val="en-PH"/>
        </w:rPr>
        <w:t>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Library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Infants 194.1.</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Westlaw Topic No. 211.</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C.J.S. Infants </w:t>
      </w:r>
      <w:r w:rsidR="00834F62" w:rsidRPr="00834F62">
        <w:rPr>
          <w:lang w:val="en-PH"/>
        </w:rPr>
        <w:t xml:space="preserve">Sections </w:t>
      </w:r>
      <w:r w:rsidRPr="00834F62">
        <w:rPr>
          <w:lang w:val="en-PH"/>
        </w:rPr>
        <w:t xml:space="preserve"> 24 to 25, 39 to 41.</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RESEARCH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Encyclopedias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S.C. Jur. Children and Families </w:t>
      </w:r>
      <w:r w:rsidR="00834F62" w:rsidRPr="00834F62">
        <w:rPr>
          <w:lang w:val="en-PH"/>
        </w:rPr>
        <w:t xml:space="preserve">Section </w:t>
      </w:r>
      <w:r w:rsidRPr="00834F62">
        <w:rPr>
          <w:lang w:val="en-PH"/>
        </w:rPr>
        <w:t>35, Protective Custody.</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S.C. Jur. Children and Families </w:t>
      </w:r>
      <w:r w:rsidR="00834F62" w:rsidRPr="00834F62">
        <w:rPr>
          <w:lang w:val="en-PH"/>
        </w:rPr>
        <w:t xml:space="preserve">Section </w:t>
      </w:r>
      <w:r w:rsidRPr="00834F62">
        <w:rPr>
          <w:lang w:val="en-PH"/>
        </w:rPr>
        <w:t>91, Capacity and Responsibility.</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NOTES OF DECISIONS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In general 1</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Reuniting children with families 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1. In general</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In South Carolina, incarceration of juveniles is for beneficent rather than punitive purposes. Alexander S. By and Through Bowers v. Boyd, 1995, 876 F.Supp. 773, modified on denial of rehearing. Infants 2682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Reports of Department of Mental Health and Department of Youth Services which essentially concluded that minor had behavioral problems but was not psychotic, experiencing thought disorder, delusional, experiencing hallucinations, clinically depressed, or exhibiting any suicidal or homicidal ideations was not sufficient basis for family court to order South Carolina Department of Social Services to place minor in long</w:t>
      </w:r>
      <w:r w:rsidR="00834F62" w:rsidRPr="00834F62">
        <w:rPr>
          <w:lang w:val="en-PH"/>
        </w:rPr>
        <w:noBreakHyphen/>
      </w:r>
      <w:r w:rsidRPr="00834F62">
        <w:rPr>
          <w:lang w:val="en-PH"/>
        </w:rPr>
        <w:t>term, out</w:t>
      </w:r>
      <w:r w:rsidR="00834F62" w:rsidRPr="00834F62">
        <w:rPr>
          <w:lang w:val="en-PH"/>
        </w:rPr>
        <w:noBreakHyphen/>
      </w:r>
      <w:r w:rsidRPr="00834F62">
        <w:rPr>
          <w:lang w:val="en-PH"/>
        </w:rPr>
        <w:t>of</w:t>
      </w:r>
      <w:r w:rsidR="00834F62" w:rsidRPr="00834F62">
        <w:rPr>
          <w:lang w:val="en-PH"/>
        </w:rPr>
        <w:noBreakHyphen/>
      </w:r>
      <w:r w:rsidRPr="00834F62">
        <w:rPr>
          <w:lang w:val="en-PH"/>
        </w:rPr>
        <w:t>state residential treatment facility at a cost of $85,000 per year; placement of one child at such extremely expensive facility could be achieved only by denying services to numerous other children. South Carolina Dept. of Social Services v. Gerald (S.C. 1987) 293 S.C. 72, 358 S.E.2d 712. Infants 2237</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2. Reuniting children with families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In the context of proceedings addressing the termination of parental rights, the interests of the child shall prevail if the child</w:t>
      </w:r>
      <w:r w:rsidR="00834F62" w:rsidRPr="00834F62">
        <w:rPr>
          <w:lang w:val="en-PH"/>
        </w:rPr>
        <w:t>’</w:t>
      </w:r>
      <w:r w:rsidRPr="00834F62">
        <w:rPr>
          <w:lang w:val="en-PH"/>
        </w:rPr>
        <w:t>s interest and the parental rights conflict; however, the public policy of this state in child custody matters is to reunite parents and children. Doe v. Roe (S.C.App. 2008) 379 S.C. 291, 665 S.E.2d 182, rehearing denied, certiorari granted, reversed 386 S.C. 624, 690 S.E.2d 573. Infants 1881; Infants 1886; Infants 2021</w:t>
      </w:r>
    </w:p>
    <w:p w:rsidR="00834F62"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F62">
        <w:rPr>
          <w:lang w:val="en-PH"/>
        </w:rPr>
        <w:t xml:space="preserve">A family court judge may order participation by an estranged parent in a plan aimed at reuniting the child with the parent. Thus, a parent and child were under the jurisdiction of the family court, and the court had the authority to require the parents to successfully complete a substance abuse treatment and parenting skills </w:t>
      </w:r>
      <w:r w:rsidRPr="00834F62">
        <w:rPr>
          <w:lang w:val="en-PH"/>
        </w:rPr>
        <w:lastRenderedPageBreak/>
        <w:t>program, following the removal of the child from the parent</w:t>
      </w:r>
      <w:r w:rsidR="00834F62" w:rsidRPr="00834F62">
        <w:rPr>
          <w:lang w:val="en-PH"/>
        </w:rPr>
        <w:t>’</w:t>
      </w:r>
      <w:r w:rsidRPr="00834F62">
        <w:rPr>
          <w:lang w:val="en-PH"/>
        </w:rPr>
        <w:t>s home by the Department of Social Services. Department of Social Services v. Johnson (S.C.App. 1990) 302 S.C. 199, 394 S.E.2d 721.</w:t>
      </w:r>
    </w:p>
    <w:p w:rsidR="00834F62" w:rsidRP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b/>
          <w:lang w:val="en-PH"/>
        </w:rPr>
        <w:t xml:space="preserve">SECTION </w:t>
      </w:r>
      <w:r w:rsidR="002059AC" w:rsidRPr="00834F62">
        <w:rPr>
          <w:b/>
          <w:lang w:val="en-PH"/>
        </w:rPr>
        <w:t>63</w:t>
      </w:r>
      <w:r w:rsidRPr="00834F62">
        <w:rPr>
          <w:b/>
          <w:lang w:val="en-PH"/>
        </w:rPr>
        <w:noBreakHyphen/>
      </w:r>
      <w:r w:rsidR="002059AC" w:rsidRPr="00834F62">
        <w:rPr>
          <w:b/>
          <w:lang w:val="en-PH"/>
        </w:rPr>
        <w:t>1</w:t>
      </w:r>
      <w:r w:rsidRPr="00834F62">
        <w:rPr>
          <w:b/>
          <w:lang w:val="en-PH"/>
        </w:rPr>
        <w:noBreakHyphen/>
      </w:r>
      <w:r w:rsidR="002059AC" w:rsidRPr="00834F62">
        <w:rPr>
          <w:b/>
          <w:lang w:val="en-PH"/>
        </w:rPr>
        <w:t>30.</w:t>
      </w:r>
      <w:r w:rsidR="002059AC" w:rsidRPr="00834F62">
        <w:rPr>
          <w:lang w:val="en-PH"/>
        </w:rPr>
        <w:t xml:space="preserve"> Construction of title.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This title shall be liberally construed to the end that families whose unity or well</w:t>
      </w:r>
      <w:r w:rsidR="00834F62" w:rsidRPr="00834F62">
        <w:rPr>
          <w:lang w:val="en-PH"/>
        </w:rPr>
        <w:noBreakHyphen/>
      </w:r>
      <w:r w:rsidRPr="00834F62">
        <w:rPr>
          <w:lang w:val="en-PH"/>
        </w:rPr>
        <w:t>being is threatened shall be assisted and protected, and restored if possible as secure units of law</w:t>
      </w:r>
      <w:r w:rsidR="00834F62" w:rsidRPr="00834F62">
        <w:rPr>
          <w:lang w:val="en-PH"/>
        </w:rPr>
        <w:noBreakHyphen/>
      </w:r>
      <w:r w:rsidRPr="00834F62">
        <w:rPr>
          <w:lang w:val="en-PH"/>
        </w:rPr>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59AC" w:rsidRPr="00834F62">
        <w:rPr>
          <w:lang w:val="en-PH"/>
        </w:rPr>
        <w:t xml:space="preserve">: 2008 Act No. 361, </w:t>
      </w:r>
      <w:r w:rsidRPr="00834F62">
        <w:rPr>
          <w:lang w:val="en-PH"/>
        </w:rPr>
        <w:t xml:space="preserve">Section </w:t>
      </w:r>
      <w:r w:rsidR="002059AC" w:rsidRPr="00834F62">
        <w:rPr>
          <w:lang w:val="en-PH"/>
        </w:rPr>
        <w:t>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Library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Infants 132.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Westlaw Topic No. 211.</w:t>
      </w:r>
    </w:p>
    <w:p w:rsidR="00834F62"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F62">
        <w:rPr>
          <w:lang w:val="en-PH"/>
        </w:rPr>
        <w:t xml:space="preserve">C.J.S. Infants </w:t>
      </w:r>
      <w:r w:rsidR="00834F62" w:rsidRPr="00834F62">
        <w:rPr>
          <w:lang w:val="en-PH"/>
        </w:rPr>
        <w:t xml:space="preserve">Sections </w:t>
      </w:r>
      <w:r w:rsidRPr="00834F62">
        <w:rPr>
          <w:lang w:val="en-PH"/>
        </w:rPr>
        <w:t xml:space="preserve"> 12 to 13, 23, 26 to 28.</w:t>
      </w:r>
    </w:p>
    <w:p w:rsidR="00834F62" w:rsidRP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b/>
          <w:lang w:val="en-PH"/>
        </w:rPr>
        <w:t xml:space="preserve">SECTION </w:t>
      </w:r>
      <w:r w:rsidR="002059AC" w:rsidRPr="00834F62">
        <w:rPr>
          <w:b/>
          <w:lang w:val="en-PH"/>
        </w:rPr>
        <w:t>63</w:t>
      </w:r>
      <w:r w:rsidRPr="00834F62">
        <w:rPr>
          <w:b/>
          <w:lang w:val="en-PH"/>
        </w:rPr>
        <w:noBreakHyphen/>
      </w:r>
      <w:r w:rsidR="002059AC" w:rsidRPr="00834F62">
        <w:rPr>
          <w:b/>
          <w:lang w:val="en-PH"/>
        </w:rPr>
        <w:t>1</w:t>
      </w:r>
      <w:r w:rsidRPr="00834F62">
        <w:rPr>
          <w:b/>
          <w:lang w:val="en-PH"/>
        </w:rPr>
        <w:noBreakHyphen/>
      </w:r>
      <w:r w:rsidR="002059AC" w:rsidRPr="00834F62">
        <w:rPr>
          <w:b/>
          <w:lang w:val="en-PH"/>
        </w:rPr>
        <w:t>40.</w:t>
      </w:r>
      <w:r w:rsidR="002059AC" w:rsidRPr="00834F62">
        <w:rPr>
          <w:lang w:val="en-PH"/>
        </w:rPr>
        <w:t xml:space="preserve"> Definitions.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When used in this title and unless otherwise defined or the specific context indicates otherwise: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(1) </w:t>
      </w:r>
      <w:r w:rsidR="00834F62" w:rsidRPr="00834F62">
        <w:rPr>
          <w:lang w:val="en-PH"/>
        </w:rPr>
        <w:t>“</w:t>
      </w:r>
      <w:r w:rsidRPr="00834F62">
        <w:rPr>
          <w:lang w:val="en-PH"/>
        </w:rPr>
        <w:t>Child</w:t>
      </w:r>
      <w:r w:rsidR="00834F62" w:rsidRPr="00834F62">
        <w:rPr>
          <w:lang w:val="en-PH"/>
        </w:rPr>
        <w:t>”</w:t>
      </w:r>
      <w:r w:rsidRPr="00834F62">
        <w:rPr>
          <w:lang w:val="en-PH"/>
        </w:rPr>
        <w:t xml:space="preserve"> means a person under the age of eighteen.</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(2) </w:t>
      </w:r>
      <w:r w:rsidR="00834F62" w:rsidRPr="00834F62">
        <w:rPr>
          <w:lang w:val="en-PH"/>
        </w:rPr>
        <w:t>“</w:t>
      </w:r>
      <w:r w:rsidRPr="00834F62">
        <w:rPr>
          <w:lang w:val="en-PH"/>
        </w:rPr>
        <w:t>Court</w:t>
      </w:r>
      <w:r w:rsidR="00834F62" w:rsidRPr="00834F62">
        <w:rPr>
          <w:lang w:val="en-PH"/>
        </w:rPr>
        <w:t>”</w:t>
      </w:r>
      <w:r w:rsidRPr="00834F62">
        <w:rPr>
          <w:lang w:val="en-PH"/>
        </w:rPr>
        <w:t xml:space="preserve"> means the family court.</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(3) </w:t>
      </w:r>
      <w:r w:rsidR="00834F62" w:rsidRPr="00834F62">
        <w:rPr>
          <w:lang w:val="en-PH"/>
        </w:rPr>
        <w:t>“</w:t>
      </w:r>
      <w:r w:rsidRPr="00834F62">
        <w:rPr>
          <w:lang w:val="en-PH"/>
        </w:rPr>
        <w:t>Guardian</w:t>
      </w:r>
      <w:r w:rsidR="00834F62" w:rsidRPr="00834F62">
        <w:rPr>
          <w:lang w:val="en-PH"/>
        </w:rPr>
        <w:t>”</w:t>
      </w:r>
      <w:r w:rsidRPr="00834F62">
        <w:rPr>
          <w:lang w:val="en-PH"/>
        </w:rPr>
        <w:t xml:space="preserve"> means a person who legally has the care and management of a child.</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(4) </w:t>
      </w:r>
      <w:r w:rsidR="00834F62" w:rsidRPr="00834F62">
        <w:rPr>
          <w:lang w:val="en-PH"/>
        </w:rPr>
        <w:t>“</w:t>
      </w:r>
      <w:r w:rsidRPr="00834F62">
        <w:rPr>
          <w:lang w:val="en-PH"/>
        </w:rPr>
        <w:t>Judge</w:t>
      </w:r>
      <w:r w:rsidR="00834F62" w:rsidRPr="00834F62">
        <w:rPr>
          <w:lang w:val="en-PH"/>
        </w:rPr>
        <w:t>”</w:t>
      </w:r>
      <w:r w:rsidRPr="00834F62">
        <w:rPr>
          <w:lang w:val="en-PH"/>
        </w:rPr>
        <w:t xml:space="preserve"> means the judge of the family court.</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(5) </w:t>
      </w:r>
      <w:r w:rsidR="00834F62" w:rsidRPr="00834F62">
        <w:rPr>
          <w:lang w:val="en-PH"/>
        </w:rPr>
        <w:t>“</w:t>
      </w:r>
      <w:r w:rsidRPr="00834F62">
        <w:rPr>
          <w:lang w:val="en-PH"/>
        </w:rPr>
        <w:t>Parent</w:t>
      </w:r>
      <w:r w:rsidR="00834F62" w:rsidRPr="00834F62">
        <w:rPr>
          <w:lang w:val="en-PH"/>
        </w:rPr>
        <w:t>”</w:t>
      </w:r>
      <w:r w:rsidRPr="00834F62">
        <w:rPr>
          <w:lang w:val="en-PH"/>
        </w:rPr>
        <w:t xml:space="preserve"> means biological parent, adoptive parents, step</w:t>
      </w:r>
      <w:r w:rsidR="00834F62" w:rsidRPr="00834F62">
        <w:rPr>
          <w:lang w:val="en-PH"/>
        </w:rPr>
        <w:noBreakHyphen/>
      </w:r>
      <w:r w:rsidRPr="00834F62">
        <w:rPr>
          <w:lang w:val="en-PH"/>
        </w:rPr>
        <w:t>parent, or person with legal custody.</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(6) </w:t>
      </w:r>
      <w:r w:rsidR="00834F62" w:rsidRPr="00834F62">
        <w:rPr>
          <w:lang w:val="en-PH"/>
        </w:rPr>
        <w:t>“</w:t>
      </w:r>
      <w:r w:rsidRPr="00834F62">
        <w:rPr>
          <w:lang w:val="en-PH"/>
        </w:rPr>
        <w:t>Status offense</w:t>
      </w:r>
      <w:r w:rsidR="00834F62" w:rsidRPr="00834F62">
        <w:rPr>
          <w:lang w:val="en-PH"/>
        </w:rPr>
        <w:t>”</w:t>
      </w:r>
      <w:r w:rsidRPr="00834F62">
        <w:rPr>
          <w:lang w:val="en-PH"/>
        </w:rPr>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(7) </w:t>
      </w:r>
      <w:r w:rsidR="00834F62" w:rsidRPr="00834F62">
        <w:rPr>
          <w:lang w:val="en-PH"/>
        </w:rPr>
        <w:t>“</w:t>
      </w:r>
      <w:r w:rsidRPr="00834F62">
        <w:rPr>
          <w:lang w:val="en-PH"/>
        </w:rPr>
        <w:t>Child caring facility</w:t>
      </w:r>
      <w:r w:rsidR="00834F62" w:rsidRPr="00834F62">
        <w:rPr>
          <w:lang w:val="en-PH"/>
        </w:rPr>
        <w:t>”</w:t>
      </w:r>
      <w:r w:rsidRPr="00834F62">
        <w:rPr>
          <w:lang w:val="en-PH"/>
        </w:rPr>
        <w:t xml:space="preserve"> means a campus with one or more staffed residences and with a total population of twenty or more children who are in care apart from their parents, relatives, or guardians on a continuing full</w:t>
      </w:r>
      <w:r w:rsidR="00834F62" w:rsidRPr="00834F62">
        <w:rPr>
          <w:lang w:val="en-PH"/>
        </w:rPr>
        <w:noBreakHyphen/>
      </w:r>
      <w:r w:rsidRPr="00834F62">
        <w:rPr>
          <w:lang w:val="en-PH"/>
        </w:rPr>
        <w:t>time basis for protection and guidance.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(8) </w:t>
      </w:r>
      <w:r w:rsidR="00834F62" w:rsidRPr="00834F62">
        <w:rPr>
          <w:lang w:val="en-PH"/>
        </w:rPr>
        <w:t>“</w:t>
      </w:r>
      <w:r w:rsidRPr="00834F62">
        <w:rPr>
          <w:lang w:val="en-PH"/>
        </w:rPr>
        <w:t>Foster home</w:t>
      </w:r>
      <w:r w:rsidR="00834F62" w:rsidRPr="00834F62">
        <w:rPr>
          <w:lang w:val="en-PH"/>
        </w:rPr>
        <w:t>”</w:t>
      </w:r>
      <w:r w:rsidRPr="00834F62">
        <w:rPr>
          <w:lang w:val="en-PH"/>
        </w:rPr>
        <w:t xml:space="preserve"> means a household of one or more persons who are licensed or approved to provide full</w:t>
      </w:r>
      <w:r w:rsidR="00834F62" w:rsidRPr="00834F62">
        <w:rPr>
          <w:lang w:val="en-PH"/>
        </w:rPr>
        <w:noBreakHyphen/>
      </w:r>
      <w:r w:rsidRPr="00834F62">
        <w:rPr>
          <w:lang w:val="en-PH"/>
        </w:rPr>
        <w:t>time care for one to five children living apart from their parents or guardians.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 xml:space="preserve">(9) </w:t>
      </w:r>
      <w:r w:rsidR="00834F62" w:rsidRPr="00834F62">
        <w:rPr>
          <w:lang w:val="en-PH"/>
        </w:rPr>
        <w:t>“</w:t>
      </w:r>
      <w:r w:rsidRPr="00834F62">
        <w:rPr>
          <w:lang w:val="en-PH"/>
        </w:rPr>
        <w:t>Residential group care home</w:t>
      </w:r>
      <w:r w:rsidR="00834F62" w:rsidRPr="00834F62">
        <w:rPr>
          <w:lang w:val="en-PH"/>
        </w:rPr>
        <w:t>”</w:t>
      </w:r>
      <w:r w:rsidRPr="00834F62">
        <w:rPr>
          <w:lang w:val="en-PH"/>
        </w:rPr>
        <w:t xml:space="preserve"> means a staffed residence with a population fewer than twenty children who are in care apart from their parents, relatives, or guardians on a full</w:t>
      </w:r>
      <w:r w:rsidR="00834F62" w:rsidRPr="00834F62">
        <w:rPr>
          <w:lang w:val="en-PH"/>
        </w:rPr>
        <w:noBreakHyphen/>
      </w:r>
      <w:r w:rsidRPr="00834F62">
        <w:rPr>
          <w:lang w:val="en-PH"/>
        </w:rPr>
        <w:t>time basis.</w:t>
      </w: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59AC" w:rsidRPr="00834F62">
        <w:rPr>
          <w:lang w:val="en-PH"/>
        </w:rPr>
        <w:t xml:space="preserve">: 2008 Act No. 361, </w:t>
      </w:r>
      <w:r w:rsidRPr="00834F62">
        <w:rPr>
          <w:lang w:val="en-PH"/>
        </w:rPr>
        <w:t xml:space="preserve">Section </w:t>
      </w:r>
      <w:r w:rsidR="002059AC" w:rsidRPr="00834F62">
        <w:rPr>
          <w:lang w:val="en-PH"/>
        </w:rPr>
        <w:t>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CROSS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Definition of </w:t>
      </w:r>
      <w:r w:rsidR="00834F62" w:rsidRPr="00834F62">
        <w:rPr>
          <w:lang w:val="en-PH"/>
        </w:rPr>
        <w:t>“</w:t>
      </w:r>
      <w:r w:rsidRPr="00834F62">
        <w:rPr>
          <w:lang w:val="en-PH"/>
        </w:rPr>
        <w:t>child</w:t>
      </w:r>
      <w:r w:rsidR="00834F62" w:rsidRPr="00834F62">
        <w:rPr>
          <w:lang w:val="en-PH"/>
        </w:rPr>
        <w:t>”</w:t>
      </w:r>
      <w:r w:rsidRPr="00834F62">
        <w:rPr>
          <w:lang w:val="en-PH"/>
        </w:rPr>
        <w:t xml:space="preserve"> and other terms as used in subarticle 7 in relation to adoption, see </w:t>
      </w:r>
      <w:r w:rsidR="00834F62" w:rsidRPr="00834F62">
        <w:rPr>
          <w:lang w:val="en-PH"/>
        </w:rPr>
        <w:t xml:space="preserve">Section </w:t>
      </w:r>
      <w:r w:rsidRPr="00834F62">
        <w:rPr>
          <w:lang w:val="en-PH"/>
        </w:rPr>
        <w:t>63</w:t>
      </w:r>
      <w:r w:rsidR="00834F62" w:rsidRPr="00834F62">
        <w:rPr>
          <w:lang w:val="en-PH"/>
        </w:rPr>
        <w:noBreakHyphen/>
      </w:r>
      <w:r w:rsidRPr="00834F62">
        <w:rPr>
          <w:lang w:val="en-PH"/>
        </w:rPr>
        <w:t>9</w:t>
      </w:r>
      <w:r w:rsidR="00834F62" w:rsidRPr="00834F62">
        <w:rPr>
          <w:lang w:val="en-PH"/>
        </w:rPr>
        <w:noBreakHyphen/>
      </w:r>
      <w:r w:rsidRPr="00834F62">
        <w:rPr>
          <w:lang w:val="en-PH"/>
        </w:rPr>
        <w:t>30.</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Definitions of </w:t>
      </w:r>
      <w:r w:rsidR="00834F62" w:rsidRPr="00834F62">
        <w:rPr>
          <w:lang w:val="en-PH"/>
        </w:rPr>
        <w:t>“</w:t>
      </w:r>
      <w:r w:rsidRPr="00834F62">
        <w:rPr>
          <w:lang w:val="en-PH"/>
        </w:rPr>
        <w:t>child</w:t>
      </w:r>
      <w:r w:rsidR="00834F62" w:rsidRPr="00834F62">
        <w:rPr>
          <w:lang w:val="en-PH"/>
        </w:rPr>
        <w:t>”</w:t>
      </w:r>
      <w:r w:rsidRPr="00834F62">
        <w:rPr>
          <w:lang w:val="en-PH"/>
        </w:rPr>
        <w:t xml:space="preserve"> and other terms used in Workmen</w:t>
      </w:r>
      <w:r w:rsidR="00834F62" w:rsidRPr="00834F62">
        <w:rPr>
          <w:lang w:val="en-PH"/>
        </w:rPr>
        <w:t>’</w:t>
      </w:r>
      <w:r w:rsidRPr="00834F62">
        <w:rPr>
          <w:lang w:val="en-PH"/>
        </w:rPr>
        <w:t xml:space="preserve">s Compensation Law, see </w:t>
      </w:r>
      <w:r w:rsidR="00834F62" w:rsidRPr="00834F62">
        <w:rPr>
          <w:lang w:val="en-PH"/>
        </w:rPr>
        <w:t xml:space="preserve">Section </w:t>
      </w:r>
      <w:r w:rsidRPr="00834F62">
        <w:rPr>
          <w:lang w:val="en-PH"/>
        </w:rPr>
        <w:t>42</w:t>
      </w:r>
      <w:r w:rsidR="00834F62" w:rsidRPr="00834F62">
        <w:rPr>
          <w:lang w:val="en-PH"/>
        </w:rPr>
        <w:noBreakHyphen/>
      </w:r>
      <w:r w:rsidRPr="00834F62">
        <w:rPr>
          <w:lang w:val="en-PH"/>
        </w:rPr>
        <w:t>1</w:t>
      </w:r>
      <w:r w:rsidR="00834F62" w:rsidRPr="00834F62">
        <w:rPr>
          <w:lang w:val="en-PH"/>
        </w:rPr>
        <w:noBreakHyphen/>
      </w:r>
      <w:r w:rsidRPr="00834F62">
        <w:rPr>
          <w:lang w:val="en-PH"/>
        </w:rPr>
        <w:t>70.</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Definitions of other terms as used in specific articles, subarticles and sections, see </w:t>
      </w:r>
      <w:r w:rsidR="00834F62" w:rsidRPr="00834F62">
        <w:rPr>
          <w:lang w:val="en-PH"/>
        </w:rPr>
        <w:t xml:space="preserve">Sections </w:t>
      </w:r>
      <w:r w:rsidRPr="00834F62">
        <w:rPr>
          <w:lang w:val="en-PH"/>
        </w:rPr>
        <w:t xml:space="preserve"> 24</w:t>
      </w:r>
      <w:r w:rsidR="00834F62" w:rsidRPr="00834F62">
        <w:rPr>
          <w:lang w:val="en-PH"/>
        </w:rPr>
        <w:noBreakHyphen/>
      </w:r>
      <w:r w:rsidRPr="00834F62">
        <w:rPr>
          <w:lang w:val="en-PH"/>
        </w:rPr>
        <w:t>19</w:t>
      </w:r>
      <w:r w:rsidR="00834F62" w:rsidRPr="00834F62">
        <w:rPr>
          <w:lang w:val="en-PH"/>
        </w:rPr>
        <w:noBreakHyphen/>
      </w:r>
      <w:r w:rsidRPr="00834F62">
        <w:rPr>
          <w:lang w:val="en-PH"/>
        </w:rPr>
        <w:t>10, 43</w:t>
      </w:r>
      <w:r w:rsidR="00834F62" w:rsidRPr="00834F62">
        <w:rPr>
          <w:lang w:val="en-PH"/>
        </w:rPr>
        <w:noBreakHyphen/>
      </w:r>
      <w:r w:rsidRPr="00834F62">
        <w:rPr>
          <w:lang w:val="en-PH"/>
        </w:rPr>
        <w:t>5</w:t>
      </w:r>
      <w:r w:rsidR="00834F62" w:rsidRPr="00834F62">
        <w:rPr>
          <w:lang w:val="en-PH"/>
        </w:rPr>
        <w:noBreakHyphen/>
      </w:r>
      <w:r w:rsidRPr="00834F62">
        <w:rPr>
          <w:lang w:val="en-PH"/>
        </w:rPr>
        <w:t>125, 59</w:t>
      </w:r>
      <w:r w:rsidR="00834F62" w:rsidRPr="00834F62">
        <w:rPr>
          <w:lang w:val="en-PH"/>
        </w:rPr>
        <w:noBreakHyphen/>
      </w:r>
      <w:r w:rsidRPr="00834F62">
        <w:rPr>
          <w:lang w:val="en-PH"/>
        </w:rPr>
        <w:t>115</w:t>
      </w:r>
      <w:r w:rsidR="00834F62" w:rsidRPr="00834F62">
        <w:rPr>
          <w:lang w:val="en-PH"/>
        </w:rPr>
        <w:noBreakHyphen/>
      </w:r>
      <w:r w:rsidRPr="00834F62">
        <w:rPr>
          <w:lang w:val="en-PH"/>
        </w:rPr>
        <w:t>20, 63</w:t>
      </w:r>
      <w:r w:rsidR="00834F62" w:rsidRPr="00834F62">
        <w:rPr>
          <w:lang w:val="en-PH"/>
        </w:rPr>
        <w:noBreakHyphen/>
      </w:r>
      <w:r w:rsidRPr="00834F62">
        <w:rPr>
          <w:lang w:val="en-PH"/>
        </w:rPr>
        <w:t>5</w:t>
      </w:r>
      <w:r w:rsidR="00834F62" w:rsidRPr="00834F62">
        <w:rPr>
          <w:lang w:val="en-PH"/>
        </w:rPr>
        <w:noBreakHyphen/>
      </w:r>
      <w:r w:rsidRPr="00834F62">
        <w:rPr>
          <w:lang w:val="en-PH"/>
        </w:rPr>
        <w:t>510, 63</w:t>
      </w:r>
      <w:r w:rsidR="00834F62" w:rsidRPr="00834F62">
        <w:rPr>
          <w:lang w:val="en-PH"/>
        </w:rPr>
        <w:noBreakHyphen/>
      </w:r>
      <w:r w:rsidRPr="00834F62">
        <w:rPr>
          <w:lang w:val="en-PH"/>
        </w:rPr>
        <w:t>9</w:t>
      </w:r>
      <w:r w:rsidR="00834F62" w:rsidRPr="00834F62">
        <w:rPr>
          <w:lang w:val="en-PH"/>
        </w:rPr>
        <w:noBreakHyphen/>
      </w:r>
      <w:r w:rsidRPr="00834F62">
        <w:rPr>
          <w:lang w:val="en-PH"/>
        </w:rPr>
        <w:t>1720, 63</w:t>
      </w:r>
      <w:r w:rsidR="00834F62" w:rsidRPr="00834F62">
        <w:rPr>
          <w:lang w:val="en-PH"/>
        </w:rPr>
        <w:noBreakHyphen/>
      </w:r>
      <w:r w:rsidRPr="00834F62">
        <w:rPr>
          <w:lang w:val="en-PH"/>
        </w:rPr>
        <w:t>11</w:t>
      </w:r>
      <w:r w:rsidR="00834F62" w:rsidRPr="00834F62">
        <w:rPr>
          <w:lang w:val="en-PH"/>
        </w:rPr>
        <w:noBreakHyphen/>
      </w:r>
      <w:r w:rsidRPr="00834F62">
        <w:rPr>
          <w:lang w:val="en-PH"/>
        </w:rPr>
        <w:t>10, 63</w:t>
      </w:r>
      <w:r w:rsidR="00834F62" w:rsidRPr="00834F62">
        <w:rPr>
          <w:lang w:val="en-PH"/>
        </w:rPr>
        <w:noBreakHyphen/>
      </w:r>
      <w:r w:rsidRPr="00834F62">
        <w:rPr>
          <w:lang w:val="en-PH"/>
        </w:rPr>
        <w:t>13</w:t>
      </w:r>
      <w:r w:rsidR="00834F62" w:rsidRPr="00834F62">
        <w:rPr>
          <w:lang w:val="en-PH"/>
        </w:rPr>
        <w:noBreakHyphen/>
      </w:r>
      <w:r w:rsidRPr="00834F62">
        <w:rPr>
          <w:lang w:val="en-PH"/>
        </w:rPr>
        <w:t>20.</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Definitions of </w:t>
      </w:r>
      <w:r w:rsidR="00834F62" w:rsidRPr="00834F62">
        <w:rPr>
          <w:lang w:val="en-PH"/>
        </w:rPr>
        <w:t>“</w:t>
      </w:r>
      <w:r w:rsidRPr="00834F62">
        <w:rPr>
          <w:lang w:val="en-PH"/>
        </w:rPr>
        <w:t>parent</w:t>
      </w:r>
      <w:r w:rsidR="00834F62" w:rsidRPr="00834F62">
        <w:rPr>
          <w:lang w:val="en-PH"/>
        </w:rPr>
        <w:t>”</w:t>
      </w:r>
      <w:r w:rsidRPr="00834F62">
        <w:rPr>
          <w:lang w:val="en-PH"/>
        </w:rPr>
        <w:t xml:space="preserve"> and other terms as used in provisions of South Carolina Code applicable to both mentally ill and mentally retarded persons, see </w:t>
      </w:r>
      <w:r w:rsidR="00834F62" w:rsidRPr="00834F62">
        <w:rPr>
          <w:lang w:val="en-PH"/>
        </w:rPr>
        <w:t xml:space="preserve">Section </w:t>
      </w:r>
      <w:r w:rsidRPr="00834F62">
        <w:rPr>
          <w:lang w:val="en-PH"/>
        </w:rPr>
        <w:t>44</w:t>
      </w:r>
      <w:r w:rsidR="00834F62" w:rsidRPr="00834F62">
        <w:rPr>
          <w:lang w:val="en-PH"/>
        </w:rPr>
        <w:noBreakHyphen/>
      </w:r>
      <w:r w:rsidRPr="00834F62">
        <w:rPr>
          <w:lang w:val="en-PH"/>
        </w:rPr>
        <w:t>23</w:t>
      </w:r>
      <w:r w:rsidR="00834F62" w:rsidRPr="00834F62">
        <w:rPr>
          <w:lang w:val="en-PH"/>
        </w:rPr>
        <w:noBreakHyphen/>
      </w:r>
      <w:r w:rsidRPr="00834F62">
        <w:rPr>
          <w:lang w:val="en-PH"/>
        </w:rPr>
        <w:t>10.</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Library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Infants 132.</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Westlaw Topic No. 211.</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C.J.S. Infants </w:t>
      </w:r>
      <w:r w:rsidR="00834F62" w:rsidRPr="00834F62">
        <w:rPr>
          <w:lang w:val="en-PH"/>
        </w:rPr>
        <w:t xml:space="preserve">Sections </w:t>
      </w:r>
      <w:r w:rsidRPr="00834F62">
        <w:rPr>
          <w:lang w:val="en-PH"/>
        </w:rPr>
        <w:t xml:space="preserve"> 12 to 13, 23, 26 to 28.</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RESEARCH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Encyclopedias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S.C. Jur. Children and Families </w:t>
      </w:r>
      <w:r w:rsidR="00834F62" w:rsidRPr="00834F62">
        <w:rPr>
          <w:lang w:val="en-PH"/>
        </w:rPr>
        <w:t xml:space="preserve">Section </w:t>
      </w:r>
      <w:r w:rsidRPr="00834F62">
        <w:rPr>
          <w:lang w:val="en-PH"/>
        </w:rPr>
        <w:t>95, Delinquent Acts.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S.C. Jur. Gifts </w:t>
      </w:r>
      <w:r w:rsidR="00834F62" w:rsidRPr="00834F62">
        <w:rPr>
          <w:lang w:val="en-PH"/>
        </w:rPr>
        <w:t xml:space="preserve">Section </w:t>
      </w:r>
      <w:r w:rsidRPr="00834F62">
        <w:rPr>
          <w:lang w:val="en-PH"/>
        </w:rPr>
        <w:t>8, Capacity.</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Attorney General</w:t>
      </w:r>
      <w:r w:rsidR="00834F62" w:rsidRPr="00834F62">
        <w:rPr>
          <w:lang w:val="en-PH"/>
        </w:rPr>
        <w:t>’</w:t>
      </w:r>
      <w:r w:rsidRPr="00834F62">
        <w:rPr>
          <w:lang w:val="en-PH"/>
        </w:rPr>
        <w:t>s Opinions</w:t>
      </w:r>
    </w:p>
    <w:p w:rsidR="00834F62" w:rsidRP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34F62">
        <w:rPr>
          <w:lang w:val="en-PH"/>
        </w:rPr>
        <w:t xml:space="preserve">Term </w:t>
      </w:r>
      <w:r w:rsidR="00834F62" w:rsidRPr="00834F62">
        <w:rPr>
          <w:lang w:val="en-PH"/>
        </w:rPr>
        <w:t>“</w:t>
      </w:r>
      <w:r w:rsidRPr="00834F62">
        <w:rPr>
          <w:lang w:val="en-PH"/>
        </w:rPr>
        <w:t>foster care</w:t>
      </w:r>
      <w:r w:rsidR="00834F62" w:rsidRPr="00834F62">
        <w:rPr>
          <w:lang w:val="en-PH"/>
        </w:rPr>
        <w:t>”</w:t>
      </w:r>
      <w:r w:rsidRPr="00834F62">
        <w:rPr>
          <w:lang w:val="en-PH"/>
        </w:rPr>
        <w:t xml:space="preserve"> as used in H.3669 could be construed as including foster family home care, child caring facilities and residential group homes. 1993 Op. Atty Gen No. 93</w:t>
      </w:r>
      <w:r w:rsidR="00834F62" w:rsidRPr="00834F62">
        <w:rPr>
          <w:lang w:val="en-PH"/>
        </w:rPr>
        <w:noBreakHyphen/>
      </w:r>
      <w:r w:rsidRPr="00834F62">
        <w:rPr>
          <w:lang w:val="en-PH"/>
        </w:rPr>
        <w:t>47.</w:t>
      </w:r>
    </w:p>
    <w:p w:rsidR="00834F62" w:rsidRP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b/>
          <w:lang w:val="en-PH"/>
        </w:rPr>
        <w:t xml:space="preserve">SECTION </w:t>
      </w:r>
      <w:r w:rsidR="002059AC" w:rsidRPr="00834F62">
        <w:rPr>
          <w:b/>
          <w:lang w:val="en-PH"/>
        </w:rPr>
        <w:t>63</w:t>
      </w:r>
      <w:r w:rsidRPr="00834F62">
        <w:rPr>
          <w:b/>
          <w:lang w:val="en-PH"/>
        </w:rPr>
        <w:noBreakHyphen/>
      </w:r>
      <w:r w:rsidR="002059AC" w:rsidRPr="00834F62">
        <w:rPr>
          <w:b/>
          <w:lang w:val="en-PH"/>
        </w:rPr>
        <w:t>1</w:t>
      </w:r>
      <w:r w:rsidRPr="00834F62">
        <w:rPr>
          <w:b/>
          <w:lang w:val="en-PH"/>
        </w:rPr>
        <w:noBreakHyphen/>
      </w:r>
      <w:r w:rsidR="002059AC" w:rsidRPr="00834F62">
        <w:rPr>
          <w:b/>
          <w:lang w:val="en-PH"/>
        </w:rPr>
        <w:t>50.</w:t>
      </w:r>
      <w:r w:rsidR="002059AC" w:rsidRPr="00834F62">
        <w:rPr>
          <w:lang w:val="en-PH"/>
        </w:rPr>
        <w:t xml:space="preserve"> Joint Citizens and Legislative Committee on Children.</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(A) There is established the Joint Citizens and Legislative Committee on Children to be composed of three members of the House of Representatives appointed by the Speaker of the House, three members of the Senate to be appointed by the President Pro Tempore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(B) The committee shall submit an annual report to the Governor, the President Pro Tempore of the Senate, and the Speaker of the House no later than the first of February. The report must detail the work of the committee, account for the committee</w:t>
      </w:r>
      <w:r w:rsidR="00834F62" w:rsidRPr="00834F62">
        <w:rPr>
          <w:lang w:val="en-PH"/>
        </w:rPr>
        <w:t>’</w:t>
      </w:r>
      <w:r w:rsidRPr="00834F62">
        <w:rPr>
          <w:lang w:val="en-PH"/>
        </w:rPr>
        <w:t>s expenditures, and provide findings and recommendations the committee develops relating to children</w:t>
      </w:r>
      <w:r w:rsidR="00834F62" w:rsidRPr="00834F62">
        <w:rPr>
          <w:lang w:val="en-PH"/>
        </w:rPr>
        <w:t>’</w:t>
      </w:r>
      <w:r w:rsidRPr="00834F62">
        <w:rPr>
          <w:lang w:val="en-PH"/>
        </w:rPr>
        <w:t>s issues it has studied.</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(C) The staffing for the committee must be provided by the Children</w:t>
      </w:r>
      <w:r w:rsidR="00834F62" w:rsidRPr="00834F62">
        <w:rPr>
          <w:lang w:val="en-PH"/>
        </w:rPr>
        <w:t>’</w:t>
      </w:r>
      <w:r w:rsidRPr="00834F62">
        <w:rPr>
          <w:lang w:val="en-PH"/>
        </w:rPr>
        <w:t>s Law Center of the University of South Carolina School of Law, subject to funding as provided in subsection (E).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(D) The committee members may not receive compensation but are entitled to mileage, subsistence, and per diem as allowed by law for members of state boards, committees, and commissions.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(E) The committee shall receive funding as may be provided in the annual general appropriations act or from any other source.</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b/>
        <w:t>(F) The committee shall terminate and shall cease to exist effective December 31, 2023, unless the General Assembly reauthorizes its continued existence beyond that date by legislation.</w:t>
      </w: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4F62" w:rsidRDefault="00834F62"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059AC" w:rsidRPr="00834F62">
        <w:rPr>
          <w:lang w:val="en-PH"/>
        </w:rPr>
        <w:t xml:space="preserve">: 2008 Act No. 251, </w:t>
      </w:r>
      <w:r w:rsidRPr="00834F62">
        <w:rPr>
          <w:lang w:val="en-PH"/>
        </w:rPr>
        <w:t xml:space="preserve">Section </w:t>
      </w:r>
      <w:r w:rsidR="002059AC" w:rsidRPr="00834F62">
        <w:rPr>
          <w:lang w:val="en-PH"/>
        </w:rPr>
        <w:t xml:space="preserve">1; 2014 Act No. 245 (S.872), </w:t>
      </w:r>
      <w:r w:rsidRPr="00834F62">
        <w:rPr>
          <w:lang w:val="en-PH"/>
        </w:rPr>
        <w:t xml:space="preserve">Section </w:t>
      </w:r>
      <w:r w:rsidR="002059AC" w:rsidRPr="00834F62">
        <w:rPr>
          <w:lang w:val="en-PH"/>
        </w:rPr>
        <w:t>1, eff June 6, 2014.</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Effect of Amendment</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2014 Act No. 245, </w:t>
      </w:r>
      <w:r w:rsidR="00834F62" w:rsidRPr="00834F62">
        <w:rPr>
          <w:lang w:val="en-PH"/>
        </w:rPr>
        <w:t xml:space="preserve">Section </w:t>
      </w:r>
      <w:r w:rsidRPr="00834F62">
        <w:rPr>
          <w:lang w:val="en-PH"/>
        </w:rPr>
        <w:t xml:space="preserve">1, in subsection (A), inserted </w:t>
      </w:r>
      <w:r w:rsidR="00834F62" w:rsidRPr="00834F62">
        <w:rPr>
          <w:lang w:val="en-PH"/>
        </w:rPr>
        <w:t>“</w:t>
      </w:r>
      <w:r w:rsidRPr="00834F62">
        <w:rPr>
          <w:lang w:val="en-PH"/>
        </w:rPr>
        <w:t>of the Senate</w:t>
      </w:r>
      <w:r w:rsidR="00834F62" w:rsidRPr="00834F62">
        <w:rPr>
          <w:lang w:val="en-PH"/>
        </w:rPr>
        <w:t>”</w:t>
      </w:r>
      <w:r w:rsidRPr="00834F62">
        <w:rPr>
          <w:lang w:val="en-PH"/>
        </w:rPr>
        <w:t xml:space="preserve">; in subsection (B), deleted the prior first sentence, relating to when the committee becomes operative, deleted </w:t>
      </w:r>
      <w:r w:rsidR="00834F62" w:rsidRPr="00834F62">
        <w:rPr>
          <w:lang w:val="en-PH"/>
        </w:rPr>
        <w:t>“</w:t>
      </w:r>
      <w:r w:rsidRPr="00834F62">
        <w:rPr>
          <w:lang w:val="en-PH"/>
        </w:rPr>
        <w:t>written</w:t>
      </w:r>
      <w:r w:rsidR="00834F62" w:rsidRPr="00834F62">
        <w:rPr>
          <w:lang w:val="en-PH"/>
        </w:rPr>
        <w:t>”</w:t>
      </w:r>
      <w:r w:rsidRPr="00834F62">
        <w:rPr>
          <w:lang w:val="en-PH"/>
        </w:rPr>
        <w:t xml:space="preserve"> before </w:t>
      </w:r>
      <w:r w:rsidR="00834F62" w:rsidRPr="00834F62">
        <w:rPr>
          <w:lang w:val="en-PH"/>
        </w:rPr>
        <w:t>“</w:t>
      </w:r>
      <w:r w:rsidRPr="00834F62">
        <w:rPr>
          <w:lang w:val="en-PH"/>
        </w:rPr>
        <w:t>report</w:t>
      </w:r>
      <w:r w:rsidR="00834F62" w:rsidRPr="00834F62">
        <w:rPr>
          <w:lang w:val="en-PH"/>
        </w:rPr>
        <w:t>”</w:t>
      </w:r>
      <w:r w:rsidRPr="00834F62">
        <w:rPr>
          <w:lang w:val="en-PH"/>
        </w:rPr>
        <w:t xml:space="preserve"> in the first sentence, deleted </w:t>
      </w:r>
      <w:r w:rsidR="00834F62" w:rsidRPr="00834F62">
        <w:rPr>
          <w:lang w:val="en-PH"/>
        </w:rPr>
        <w:t>“</w:t>
      </w:r>
      <w:r w:rsidRPr="00834F62">
        <w:rPr>
          <w:lang w:val="en-PH"/>
        </w:rPr>
        <w:t>commencing in 2009</w:t>
      </w:r>
      <w:r w:rsidR="00834F62" w:rsidRPr="00834F62">
        <w:rPr>
          <w:lang w:val="en-PH"/>
        </w:rPr>
        <w:t>”</w:t>
      </w:r>
      <w:r w:rsidRPr="00834F62">
        <w:rPr>
          <w:lang w:val="en-PH"/>
        </w:rPr>
        <w:t xml:space="preserve"> at the end of the first sentence, and deleted </w:t>
      </w:r>
      <w:r w:rsidR="00834F62" w:rsidRPr="00834F62">
        <w:rPr>
          <w:lang w:val="en-PH"/>
        </w:rPr>
        <w:t>“</w:t>
      </w:r>
      <w:r w:rsidRPr="00834F62">
        <w:rPr>
          <w:lang w:val="en-PH"/>
        </w:rPr>
        <w:t>any</w:t>
      </w:r>
      <w:r w:rsidR="00834F62" w:rsidRPr="00834F62">
        <w:rPr>
          <w:lang w:val="en-PH"/>
        </w:rPr>
        <w:t>”</w:t>
      </w:r>
      <w:r w:rsidRPr="00834F62">
        <w:rPr>
          <w:lang w:val="en-PH"/>
        </w:rPr>
        <w:t xml:space="preserve"> before </w:t>
      </w:r>
      <w:r w:rsidR="00834F62" w:rsidRPr="00834F62">
        <w:rPr>
          <w:lang w:val="en-PH"/>
        </w:rPr>
        <w:t>“</w:t>
      </w:r>
      <w:r w:rsidRPr="00834F62">
        <w:rPr>
          <w:lang w:val="en-PH"/>
        </w:rPr>
        <w:t>findings</w:t>
      </w:r>
      <w:r w:rsidR="00834F62" w:rsidRPr="00834F62">
        <w:rPr>
          <w:lang w:val="en-PH"/>
        </w:rPr>
        <w:t>”</w:t>
      </w:r>
      <w:r w:rsidRPr="00834F62">
        <w:rPr>
          <w:lang w:val="en-PH"/>
        </w:rPr>
        <w:t xml:space="preserve"> in the last sentence; in subsection (D), substituted </w:t>
      </w:r>
      <w:r w:rsidR="00834F62" w:rsidRPr="00834F62">
        <w:rPr>
          <w:lang w:val="en-PH"/>
        </w:rPr>
        <w:t>“</w:t>
      </w:r>
      <w:r w:rsidRPr="00834F62">
        <w:rPr>
          <w:lang w:val="en-PH"/>
        </w:rPr>
        <w:t>may not receive compensation but are entitled to mileage, subsistence, and per diem as allowed</w:t>
      </w:r>
      <w:r w:rsidR="00834F62" w:rsidRPr="00834F62">
        <w:rPr>
          <w:lang w:val="en-PH"/>
        </w:rPr>
        <w:t>”</w:t>
      </w:r>
      <w:r w:rsidRPr="00834F62">
        <w:rPr>
          <w:lang w:val="en-PH"/>
        </w:rPr>
        <w:t xml:space="preserve"> for </w:t>
      </w:r>
      <w:r w:rsidR="00834F62" w:rsidRPr="00834F62">
        <w:rPr>
          <w:lang w:val="en-PH"/>
        </w:rPr>
        <w:t>“</w:t>
      </w:r>
      <w:r w:rsidRPr="00834F62">
        <w:rPr>
          <w:lang w:val="en-PH"/>
        </w:rPr>
        <w:t>are eligible for per diem and mileage as provided</w:t>
      </w:r>
      <w:r w:rsidR="00834F62" w:rsidRPr="00834F62">
        <w:rPr>
          <w:lang w:val="en-PH"/>
        </w:rPr>
        <w:t>”</w:t>
      </w:r>
      <w:r w:rsidRPr="00834F62">
        <w:rPr>
          <w:lang w:val="en-PH"/>
        </w:rPr>
        <w:t xml:space="preserve">; in subsection (F), substituted </w:t>
      </w:r>
      <w:r w:rsidR="00834F62" w:rsidRPr="00834F62">
        <w:rPr>
          <w:lang w:val="en-PH"/>
        </w:rPr>
        <w:t>“</w:t>
      </w:r>
      <w:r w:rsidRPr="00834F62">
        <w:rPr>
          <w:lang w:val="en-PH"/>
        </w:rPr>
        <w:t>2023</w:t>
      </w:r>
      <w:r w:rsidR="00834F62" w:rsidRPr="00834F62">
        <w:rPr>
          <w:lang w:val="en-PH"/>
        </w:rPr>
        <w:t>”</w:t>
      </w:r>
      <w:r w:rsidRPr="00834F62">
        <w:rPr>
          <w:lang w:val="en-PH"/>
        </w:rPr>
        <w:t xml:space="preserve"> for </w:t>
      </w:r>
      <w:r w:rsidR="00834F62" w:rsidRPr="00834F62">
        <w:rPr>
          <w:lang w:val="en-PH"/>
        </w:rPr>
        <w:t>“</w:t>
      </w:r>
      <w:r w:rsidRPr="00834F62">
        <w:rPr>
          <w:lang w:val="en-PH"/>
        </w:rPr>
        <w:t>2015</w:t>
      </w:r>
      <w:r w:rsidR="00834F62" w:rsidRPr="00834F62">
        <w:rPr>
          <w:lang w:val="en-PH"/>
        </w:rPr>
        <w:t>”</w:t>
      </w:r>
      <w:r w:rsidRPr="00834F62">
        <w:rPr>
          <w:lang w:val="en-PH"/>
        </w:rPr>
        <w:t>; and made other nonsubstantive changes.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Library References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Infants 17.</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States 34.</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Westlaw Topic Nos. 211, 360.</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C.J.S. Adoption of Persons </w:t>
      </w:r>
      <w:r w:rsidR="00834F62" w:rsidRPr="00834F62">
        <w:rPr>
          <w:lang w:val="en-PH"/>
        </w:rPr>
        <w:t xml:space="preserve">Sections </w:t>
      </w:r>
      <w:r w:rsidRPr="00834F62">
        <w:rPr>
          <w:lang w:val="en-PH"/>
        </w:rPr>
        <w:t xml:space="preserve"> 10 to 14, 41.</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C.J.S. Infants </w:t>
      </w:r>
      <w:r w:rsidR="00834F62" w:rsidRPr="00834F62">
        <w:rPr>
          <w:lang w:val="en-PH"/>
        </w:rPr>
        <w:t xml:space="preserve">Sections </w:t>
      </w:r>
      <w:r w:rsidRPr="00834F62">
        <w:rPr>
          <w:lang w:val="en-PH"/>
        </w:rPr>
        <w:t xml:space="preserve"> 6, 8 to 9.</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 xml:space="preserve">C.J.S. States </w:t>
      </w:r>
      <w:r w:rsidR="00834F62" w:rsidRPr="00834F62">
        <w:rPr>
          <w:lang w:val="en-PH"/>
        </w:rPr>
        <w:t xml:space="preserve">Sections </w:t>
      </w:r>
      <w:r w:rsidRPr="00834F62">
        <w:rPr>
          <w:lang w:val="en-PH"/>
        </w:rPr>
        <w:t xml:space="preserve"> 81, 87, 109 to 111.</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Attorney General</w:t>
      </w:r>
      <w:r w:rsidR="00834F62" w:rsidRPr="00834F62">
        <w:rPr>
          <w:lang w:val="en-PH"/>
        </w:rPr>
        <w:t>’</w:t>
      </w:r>
      <w:r w:rsidRPr="00834F62">
        <w:rPr>
          <w:lang w:val="en-PH"/>
        </w:rPr>
        <w:t>s Opinions</w:t>
      </w:r>
    </w:p>
    <w:p w:rsidR="00834F62" w:rsidRDefault="002059AC"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4F62">
        <w:rPr>
          <w:lang w:val="en-PH"/>
        </w:rPr>
        <w:t>An individual may serve on the Board of Trustees of the College of Charleston and as a member of the Joint Citizens and Legislative Committee on Children without violating the dual office holding provisions of the State Constitution. S.C. Op.Atty.Gen. (April 26, 2010) 2010 WL 1808718.</w:t>
      </w:r>
    </w:p>
    <w:p w:rsidR="00F25049" w:rsidRPr="00834F62" w:rsidRDefault="00F25049" w:rsidP="00834F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4F62" w:rsidSect="00834F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F62" w:rsidRDefault="00834F62" w:rsidP="00834F62">
      <w:r>
        <w:separator/>
      </w:r>
    </w:p>
  </w:endnote>
  <w:endnote w:type="continuationSeparator" w:id="0">
    <w:p w:rsidR="00834F62" w:rsidRDefault="00834F62" w:rsidP="0083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62" w:rsidRPr="00834F62" w:rsidRDefault="00834F62" w:rsidP="00834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62" w:rsidRPr="00834F62" w:rsidRDefault="00834F62" w:rsidP="00834F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62" w:rsidRPr="00834F62" w:rsidRDefault="00834F62" w:rsidP="00834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F62" w:rsidRDefault="00834F62" w:rsidP="00834F62">
      <w:r>
        <w:separator/>
      </w:r>
    </w:p>
  </w:footnote>
  <w:footnote w:type="continuationSeparator" w:id="0">
    <w:p w:rsidR="00834F62" w:rsidRDefault="00834F62" w:rsidP="0083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62" w:rsidRPr="00834F62" w:rsidRDefault="00834F62" w:rsidP="00834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62" w:rsidRPr="00834F62" w:rsidRDefault="00834F62" w:rsidP="00834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62" w:rsidRPr="00834F62" w:rsidRDefault="00834F62" w:rsidP="00834F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AC"/>
    <w:rsid w:val="002059AC"/>
    <w:rsid w:val="00834F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13E71-4332-4F7D-879E-6E847597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59AC"/>
    <w:rPr>
      <w:rFonts w:ascii="Courier New" w:eastAsiaTheme="minorEastAsia" w:hAnsi="Courier New" w:cs="Courier New"/>
      <w:sz w:val="20"/>
      <w:szCs w:val="20"/>
    </w:rPr>
  </w:style>
  <w:style w:type="paragraph" w:styleId="Header">
    <w:name w:val="header"/>
    <w:basedOn w:val="Normal"/>
    <w:link w:val="HeaderChar"/>
    <w:uiPriority w:val="99"/>
    <w:unhideWhenUsed/>
    <w:rsid w:val="00834F62"/>
    <w:pPr>
      <w:tabs>
        <w:tab w:val="center" w:pos="4680"/>
        <w:tab w:val="right" w:pos="9360"/>
      </w:tabs>
    </w:pPr>
  </w:style>
  <w:style w:type="character" w:customStyle="1" w:styleId="HeaderChar">
    <w:name w:val="Header Char"/>
    <w:basedOn w:val="DefaultParagraphFont"/>
    <w:link w:val="Header"/>
    <w:uiPriority w:val="99"/>
    <w:rsid w:val="00834F62"/>
  </w:style>
  <w:style w:type="paragraph" w:styleId="Footer">
    <w:name w:val="footer"/>
    <w:basedOn w:val="Normal"/>
    <w:link w:val="FooterChar"/>
    <w:uiPriority w:val="99"/>
    <w:unhideWhenUsed/>
    <w:rsid w:val="00834F62"/>
    <w:pPr>
      <w:tabs>
        <w:tab w:val="center" w:pos="4680"/>
        <w:tab w:val="right" w:pos="9360"/>
      </w:tabs>
    </w:pPr>
  </w:style>
  <w:style w:type="character" w:customStyle="1" w:styleId="FooterChar">
    <w:name w:val="Footer Char"/>
    <w:basedOn w:val="DefaultParagraphFont"/>
    <w:link w:val="Footer"/>
    <w:uiPriority w:val="99"/>
    <w:rsid w:val="0083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8</Pages>
  <Words>2080</Words>
  <Characters>11856</Characters>
  <Application>Microsoft Office Word</Application>
  <DocSecurity>0</DocSecurity>
  <Lines>98</Lines>
  <Paragraphs>27</Paragraphs>
  <ScaleCrop>false</ScaleCrop>
  <Company>Legislative Services Agency (LSA)</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2018-04-30T20:40:00Z</dcterms:created>
  <dcterms:modified xsi:type="dcterms:W3CDTF">2018-04-30T20:40:00Z</dcterms:modified>
</cp:coreProperties>
</file>