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618">
        <w:t>CHAPTER 18</w:t>
      </w:r>
    </w:p>
    <w:p w:rsidR="00156618" w:rsidRP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6618">
        <w:t>Review of Occupational Registration &amp; Licensing</w:t>
      </w:r>
      <w:bookmarkStart w:id="0" w:name="_GoBack"/>
      <w:bookmarkEnd w:id="0"/>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10.</w:t>
      </w:r>
      <w:r w:rsidR="0074202F" w:rsidRPr="00156618">
        <w:t xml:space="preserve"> Definitions.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(B) "Registration" means the process by which an agency, board, or commission identifies and lists those persons who meet predetermined qualifications and who are the only persons permitted to use an occupational title.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(C) "Commission" means the State Reorganization Commission.</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20.</w:t>
      </w:r>
      <w:r w:rsidR="0074202F" w:rsidRPr="00156618">
        <w:t xml:space="preserve"> Public hearings on whether occupation should be regulated.</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30.</w:t>
      </w:r>
      <w:r w:rsidR="0074202F" w:rsidRPr="00156618">
        <w:t xml:space="preserve"> Notice of hearings; review panel; report of commission.</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156618" w:rsidRPr="00156618">
        <w:noBreakHyphen/>
      </w:r>
      <w:r w:rsidRPr="00156618">
        <w:t>18</w:t>
      </w:r>
      <w:r w:rsidR="00156618" w:rsidRPr="00156618">
        <w:noBreakHyphen/>
      </w:r>
      <w:r w:rsidRPr="00156618">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156618" w:rsidRPr="00156618">
        <w:noBreakHyphen/>
      </w:r>
      <w:r w:rsidRPr="00156618">
        <w:t>18</w:t>
      </w:r>
      <w:r w:rsidR="00156618" w:rsidRPr="00156618">
        <w:noBreakHyphen/>
      </w:r>
      <w:r w:rsidRPr="00156618">
        <w:t>70.</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40.</w:t>
      </w:r>
      <w:r w:rsidR="0074202F" w:rsidRPr="00156618">
        <w:t xml:space="preserve"> Factors to be considered in evaluating whether occupation should be regulated; limits on recommendation to regulate.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In evaluating whether an occupation should be regulated, the commission shall consider whether:</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(1) the unregulated practice of an occupation presents a clear and recognizable danger to the health, safety, or welfare of the public;</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(2) the practice of the occupation requires such a specialized skill that the public is not qualified to select a competent practitioner without assurances that he has met minimum qualifications;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(3) the public is or may be effectively protected by other means, such as academic credentials, certification by a nongovernmental entity, or membership in occupational associations;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(4) current laws are ineffective or inadequate to protect the public health, safety, and welfare and whether strengthening the laws would not provide adequate protection to the public;</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(5) the practitioner performs a service for others which would qualify for payment of part or all of those services by a third party if the practitioners were to be regulated by the State;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(6) regulation will increase the cost of goods;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(7) regulation will increase or decrease the availability of services to the public;</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lastRenderedPageBreak/>
        <w:tab/>
      </w:r>
      <w:r w:rsidRPr="00156618">
        <w:tab/>
        <w:t>(8) regulation will assure the competency of practitioners of the occupation;</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(9) regulation can be provided through an existing agency or under supervision of presently licensed practitioners.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50.</w:t>
      </w:r>
      <w:r w:rsidR="0074202F" w:rsidRPr="00156618">
        <w:t xml:space="preserve"> Degrees of regulation of occupation; limits on recommendation of regulation by licensure.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(A) If the commission determines that existing remedies do not adequately protect the public health, safety, or welfare, it shall consider the following degrees of regulation of the practice of that occupation in the following order:</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(1) statutory change to provide for civil causes of action or criminal penalties;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(2) inspection of a practitioner's premises and activities and authorization of an appropriate state board, agency, or commission to enjoin an activity which is detrimental to the public health, safety, or welfare;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(3) listing of a practitioner's location, nature, and operation of practice;</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(4) registration as defined in this chapter;</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r>
      <w:r w:rsidRPr="00156618">
        <w:tab/>
        <w:t>(5) licensure as defined in this chapter.</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60.</w:t>
      </w:r>
      <w:r w:rsidR="0074202F" w:rsidRPr="00156618">
        <w:t xml:space="preserve"> Recommendations to General Assembly.</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02F" w:rsidRPr="00156618">
        <w:t xml:space="preserve">: 1988 Act No. 572, </w:t>
      </w:r>
      <w:r w:rsidRPr="00156618">
        <w:t xml:space="preserve">Section </w:t>
      </w:r>
      <w:r w:rsidR="0074202F" w:rsidRPr="00156618">
        <w:t>1.</w:t>
      </w:r>
    </w:p>
    <w:p w:rsidR="00156618" w:rsidRP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rPr>
          <w:b/>
        </w:rPr>
        <w:t xml:space="preserve">SECTION </w:t>
      </w:r>
      <w:r w:rsidR="0074202F" w:rsidRPr="00156618">
        <w:rPr>
          <w:b/>
        </w:rPr>
        <w:t>1</w:t>
      </w:r>
      <w:r w:rsidRPr="00156618">
        <w:rPr>
          <w:b/>
        </w:rPr>
        <w:noBreakHyphen/>
      </w:r>
      <w:r w:rsidR="0074202F" w:rsidRPr="00156618">
        <w:rPr>
          <w:b/>
        </w:rPr>
        <w:t>18</w:t>
      </w:r>
      <w:r w:rsidRPr="00156618">
        <w:rPr>
          <w:b/>
        </w:rPr>
        <w:noBreakHyphen/>
      </w:r>
      <w:r w:rsidR="0074202F" w:rsidRPr="00156618">
        <w:rPr>
          <w:b/>
        </w:rPr>
        <w:t>70.</w:t>
      </w:r>
      <w:r w:rsidR="0074202F" w:rsidRPr="00156618">
        <w:t xml:space="preserve"> Recommendations to be based on evidence; recommendations to be in writing; persons who are to receive copy of recommendations.</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618" w:rsidRDefault="00156618"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02F" w:rsidRPr="00156618">
        <w:t xml:space="preserve">: 1988 Act No. 572, </w:t>
      </w:r>
      <w:r w:rsidRPr="00156618">
        <w:t xml:space="preserve">Section </w:t>
      </w:r>
      <w:r w:rsidR="0074202F" w:rsidRPr="00156618">
        <w:t xml:space="preserve">1; 2019 Act No. 1 (S.2), </w:t>
      </w:r>
      <w:r w:rsidRPr="00156618">
        <w:t xml:space="preserve">Section </w:t>
      </w:r>
      <w:r w:rsidR="0074202F" w:rsidRPr="00156618">
        <w:t>6, eff January 31, 2019.</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lastRenderedPageBreak/>
        <w:t>Effect of Amendment</w:t>
      </w:r>
    </w:p>
    <w:p w:rsidR="00156618" w:rsidRDefault="0074202F"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618">
        <w:t xml:space="preserve">2019 Act No. 1, </w:t>
      </w:r>
      <w:r w:rsidR="00156618" w:rsidRPr="00156618">
        <w:t xml:space="preserve">Section </w:t>
      </w:r>
      <w:r w:rsidRPr="00156618">
        <w:t>6, in the third sentence, substituted "President of the Senate" for "President Pro Tempore of the Senate", and in the fifth sentence, made a nonsubstantive change.</w:t>
      </w:r>
    </w:p>
    <w:p w:rsidR="00F25049" w:rsidRPr="00156618" w:rsidRDefault="00F25049" w:rsidP="0015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6618" w:rsidSect="001566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18" w:rsidRDefault="00156618" w:rsidP="00156618">
      <w:r>
        <w:separator/>
      </w:r>
    </w:p>
  </w:endnote>
  <w:endnote w:type="continuationSeparator" w:id="0">
    <w:p w:rsidR="00156618" w:rsidRDefault="00156618" w:rsidP="001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18" w:rsidRDefault="00156618" w:rsidP="00156618">
      <w:r>
        <w:separator/>
      </w:r>
    </w:p>
  </w:footnote>
  <w:footnote w:type="continuationSeparator" w:id="0">
    <w:p w:rsidR="00156618" w:rsidRDefault="00156618" w:rsidP="0015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18" w:rsidRPr="00156618" w:rsidRDefault="00156618" w:rsidP="00156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2F"/>
    <w:rsid w:val="00156618"/>
    <w:rsid w:val="007420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11F8F-A00B-4A76-A266-DAFAD02B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202F"/>
    <w:rPr>
      <w:rFonts w:ascii="Courier New" w:eastAsia="Times New Roman" w:hAnsi="Courier New" w:cs="Courier New"/>
      <w:sz w:val="20"/>
      <w:szCs w:val="20"/>
    </w:rPr>
  </w:style>
  <w:style w:type="paragraph" w:styleId="Header">
    <w:name w:val="header"/>
    <w:basedOn w:val="Normal"/>
    <w:link w:val="HeaderChar"/>
    <w:uiPriority w:val="99"/>
    <w:unhideWhenUsed/>
    <w:rsid w:val="00156618"/>
    <w:pPr>
      <w:tabs>
        <w:tab w:val="center" w:pos="4680"/>
        <w:tab w:val="right" w:pos="9360"/>
      </w:tabs>
    </w:pPr>
  </w:style>
  <w:style w:type="character" w:customStyle="1" w:styleId="HeaderChar">
    <w:name w:val="Header Char"/>
    <w:basedOn w:val="DefaultParagraphFont"/>
    <w:link w:val="Header"/>
    <w:uiPriority w:val="99"/>
    <w:rsid w:val="00156618"/>
  </w:style>
  <w:style w:type="paragraph" w:styleId="Footer">
    <w:name w:val="footer"/>
    <w:basedOn w:val="Normal"/>
    <w:link w:val="FooterChar"/>
    <w:uiPriority w:val="99"/>
    <w:unhideWhenUsed/>
    <w:rsid w:val="00156618"/>
    <w:pPr>
      <w:tabs>
        <w:tab w:val="center" w:pos="4680"/>
        <w:tab w:val="right" w:pos="9360"/>
      </w:tabs>
    </w:pPr>
  </w:style>
  <w:style w:type="character" w:customStyle="1" w:styleId="FooterChar">
    <w:name w:val="Footer Char"/>
    <w:basedOn w:val="DefaultParagraphFont"/>
    <w:link w:val="Footer"/>
    <w:uiPriority w:val="99"/>
    <w:rsid w:val="0015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1100</Words>
  <Characters>6272</Characters>
  <Application>Microsoft Office Word</Application>
  <DocSecurity>0</DocSecurity>
  <Lines>52</Lines>
  <Paragraphs>14</Paragraphs>
  <ScaleCrop>false</ScaleCrop>
  <Company>Legislative Services Agency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