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5AF1">
        <w:t>CHAPTER 3</w:t>
      </w:r>
    </w:p>
    <w:p w:rsidR="00C45AF1" w:rsidRP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AF1">
        <w:t>State Election Commission; Central Registration System</w:t>
      </w:r>
      <w:bookmarkStart w:id="0" w:name="_GoBack"/>
      <w:bookmarkEnd w:id="0"/>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10.</w:t>
      </w:r>
      <w:r w:rsidR="00655593" w:rsidRPr="00C45AF1">
        <w:t xml:space="preserve"> State Election Commission created; appointment; term; composition; vacancies; chairman; meetings; powers and duties.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(b) The Governor shall appoint one of the members to serve as chairman for a term of two years and until his successor has been appointed and qualifies. The Commission shall select such other officers from among its members as it may deem necessary.</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(d) The Commission shall have the powers and duties as enumerated in this title.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(e) 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593" w:rsidRPr="00C45AF1">
        <w:t xml:space="preserve">: 1962 Code </w:t>
      </w:r>
      <w:r w:rsidRPr="00C45AF1">
        <w:t xml:space="preserve">Section </w:t>
      </w:r>
      <w:r w:rsidR="00655593" w:rsidRPr="00C45AF1">
        <w:t>23</w:t>
      </w:r>
      <w:r w:rsidRPr="00C45AF1">
        <w:noBreakHyphen/>
      </w:r>
      <w:r w:rsidR="00655593" w:rsidRPr="00C45AF1">
        <w:t xml:space="preserve">30; 1968 (55) 2316; 1992 Act No. 276, </w:t>
      </w:r>
      <w:r w:rsidRPr="00C45AF1">
        <w:t xml:space="preserve">Section </w:t>
      </w:r>
      <w:r w:rsidR="00655593" w:rsidRPr="00C45AF1">
        <w:t xml:space="preserve">1, eff March 10, 1992; 1996 Act No. 423, </w:t>
      </w:r>
      <w:r w:rsidRPr="00C45AF1">
        <w:t xml:space="preserve">Section </w:t>
      </w:r>
      <w:r w:rsidR="00655593" w:rsidRPr="00C45AF1">
        <w:t xml:space="preserve">2, eff June 18, 1996; 1998 Act No. 293, </w:t>
      </w:r>
      <w:r w:rsidRPr="00C45AF1">
        <w:t xml:space="preserve">Section </w:t>
      </w:r>
      <w:r w:rsidR="00655593" w:rsidRPr="00C45AF1">
        <w:t>1, eff April 20, 1998.</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20.</w:t>
      </w:r>
      <w:r w:rsidR="00655593" w:rsidRPr="00C45AF1">
        <w:t xml:space="preserve"> Executive director of the State Election Commission.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(B) The executive director shall receive such compensation and employ such staff, subject to the approval of the State Election Commission, as may be provided by law.</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(C) The executive director shall:</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 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(2) 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(3) maintain a complete master file of all qualified electors by county and by precincts;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(4) delete the name of any elector:</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r>
      <w:r w:rsidRPr="00C45AF1">
        <w:tab/>
        <w:t>(a) who is deceased;</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r>
      <w:r w:rsidRPr="00C45AF1">
        <w:tab/>
        <w:t>(b) who is no longer qualified to vote in the precinct where currently registered;</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r>
      <w:r w:rsidRPr="00C45AF1">
        <w:tab/>
        <w:t>(c) who has been convicted of a disqualifying crime;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r>
      <w:r w:rsidRPr="00C45AF1">
        <w:tab/>
        <w:t>(d) who is otherwise no longer qualified to vote as may be provided by law; or</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lastRenderedPageBreak/>
        <w:tab/>
      </w:r>
      <w:r w:rsidRPr="00C45AF1">
        <w:tab/>
      </w:r>
      <w:r w:rsidRPr="00C45AF1">
        <w:tab/>
        <w:t>(e) who requests in writing that his name be removed;</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(5) enter names on the master file as they are reported by the county boards of voter registration and elections;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(7) maintain all information furnished his office relating to the inclusion or deletion of names from the master file for four years;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(8) purchase, lease, or contract for the use of such equipment as may be necessary to properly execute the duties of his office, subject to the approval of the State Election Commission;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(9) secure from the United States courts and federal and state agencies available information as to persons convicted of disqualifying crimes;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(10) obtain information from any other source which may assist him in carrying out the purposes of this section;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(11) perform such other duties relating to elections as may be assigned him by the State Election Commission;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(12) furnish at reasonable price any precinct lists to a qualified elector requesting them;</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(13) serve as the chief state election official responsible for implementing and coordinating the state's responsibilities under the National Voter Registration Act of 1993;</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(14) serve as the chief state election official responsible for implementing and enforcing the state's responsibilities under the Uniformed and Overseas Citizens Absentee Voting Act (UOCAVA), as set forth in the U.S.C., Title 42, Section 1973ff, et seq.; and</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(15) establish and maintain a statewide voter registration database that shall be administered by the commission and made continuously available to each county board of voter registration and elections and to other agencies as authorized by law.</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(D)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C45AF1" w:rsidRPr="00C45AF1">
        <w:noBreakHyphen/>
      </w:r>
      <w:r w:rsidRPr="00C45AF1">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593" w:rsidRPr="00C45AF1">
        <w:t xml:space="preserve">: 1962 Code </w:t>
      </w:r>
      <w:r w:rsidRPr="00C45AF1">
        <w:t xml:space="preserve">Section </w:t>
      </w:r>
      <w:r w:rsidR="00655593" w:rsidRPr="00C45AF1">
        <w:t>23</w:t>
      </w:r>
      <w:r w:rsidRPr="00C45AF1">
        <w:noBreakHyphen/>
      </w:r>
      <w:r w:rsidR="00655593" w:rsidRPr="00C45AF1">
        <w:t xml:space="preserve">31; 1967 (55) 657; 1968 (55) 2316; 1996 Act No. 466, </w:t>
      </w:r>
      <w:r w:rsidRPr="00C45AF1">
        <w:t xml:space="preserve">Section </w:t>
      </w:r>
      <w:r w:rsidR="00655593" w:rsidRPr="00C45AF1">
        <w:t xml:space="preserve">2, eff August 21, 1996; 2006 Act No. 253, </w:t>
      </w:r>
      <w:r w:rsidRPr="00C45AF1">
        <w:t xml:space="preserve">Section </w:t>
      </w:r>
      <w:r w:rsidR="00655593" w:rsidRPr="00C45AF1">
        <w:t xml:space="preserve">1, eff March 24, 2006; 2012 Act No. 265, </w:t>
      </w:r>
      <w:r w:rsidRPr="00C45AF1">
        <w:t xml:space="preserve">Section </w:t>
      </w:r>
      <w:r w:rsidR="00655593" w:rsidRPr="00C45AF1">
        <w:t xml:space="preserve">4, eff upon preclearance approval or declaratory judgment; 2014 Act No. 196 (S.815), </w:t>
      </w:r>
      <w:r w:rsidRPr="00C45AF1">
        <w:t xml:space="preserve">Sections </w:t>
      </w:r>
      <w:r w:rsidR="00655593" w:rsidRPr="00C45AF1">
        <w:t xml:space="preserve"> 1, 10, eff June 2, 2014.</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Editor's Note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 xml:space="preserve">2012 Act No. 265, </w:t>
      </w:r>
      <w:r w:rsidR="00C45AF1" w:rsidRPr="00C45AF1">
        <w:t xml:space="preserve">Section </w:t>
      </w:r>
      <w:r w:rsidRPr="00C45AF1">
        <w:t>9, provides as follows: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"This act takes effect upon preclearance approval by the United States Department of Justice or approval by a declaratory judgment issued by the United States District Court for the District of Columbia, whichever occurs first."</w:t>
      </w:r>
    </w:p>
    <w:p w:rsidR="00C45AF1" w:rsidRP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5AF1">
        <w:t>Preclearance approval for 2012 Act No. 265 was received on October 1, 2012.</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25.</w:t>
      </w:r>
      <w:r w:rsidR="00655593" w:rsidRPr="00C45AF1">
        <w:t xml:space="preserve"> Noncompliant county boards of voter registration and elections.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C45AF1" w:rsidRPr="00C45AF1">
        <w:noBreakHyphen/>
      </w:r>
      <w:r w:rsidRPr="00C45AF1">
        <w:t>3</w:t>
      </w:r>
      <w:r w:rsidR="00C45AF1" w:rsidRPr="00C45AF1">
        <w:noBreakHyphen/>
      </w:r>
      <w:r w:rsidRPr="00C45AF1">
        <w:t>20(C)(1), the county board to the extent necessary to:</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lastRenderedPageBreak/>
        <w:tab/>
      </w:r>
      <w:r w:rsidRPr="00C45AF1">
        <w:tab/>
        <w:t>(1) identify the failure to comply with state or federal law or State Election Commission policies and procedures;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(2) establish a plan to correct the failure; and</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r>
      <w:r w:rsidRPr="00C45AF1">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593" w:rsidRPr="00C45AF1">
        <w:t xml:space="preserve">: 2014 Act No. 196 (S.815), </w:t>
      </w:r>
      <w:r w:rsidRPr="00C45AF1">
        <w:t xml:space="preserve">Section </w:t>
      </w:r>
      <w:r w:rsidR="00655593" w:rsidRPr="00C45AF1">
        <w:t>2, eff June 2, 2014.</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30.</w:t>
      </w:r>
      <w:r w:rsidR="00655593" w:rsidRPr="00C45AF1">
        <w:t xml:space="preserve"> Notice of deletion of elector's name from roster of electors; appeal by elector; restoration of name.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Commission.</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593" w:rsidRPr="00C45AF1">
        <w:t xml:space="preserve">: 1962 Code </w:t>
      </w:r>
      <w:r w:rsidRPr="00C45AF1">
        <w:t xml:space="preserve">Section </w:t>
      </w:r>
      <w:r w:rsidR="00655593" w:rsidRPr="00C45AF1">
        <w:t>23</w:t>
      </w:r>
      <w:r w:rsidRPr="00C45AF1">
        <w:noBreakHyphen/>
      </w:r>
      <w:r w:rsidR="00655593" w:rsidRPr="00C45AF1">
        <w:t xml:space="preserve">32; 1967 (55) 657; 1968 (55) 2316; 1996 Act No. 466, </w:t>
      </w:r>
      <w:r w:rsidRPr="00C45AF1">
        <w:t xml:space="preserve">Section </w:t>
      </w:r>
      <w:r w:rsidR="00655593" w:rsidRPr="00C45AF1">
        <w:t xml:space="preserve">3, eff August 21, 1996; 2012 Act No. 265, </w:t>
      </w:r>
      <w:r w:rsidRPr="00C45AF1">
        <w:t xml:space="preserve">Section </w:t>
      </w:r>
      <w:r w:rsidR="00655593" w:rsidRPr="00C45AF1">
        <w:t>5, eff upon preclearance approval or declaratory judgment.</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Editor's Note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 xml:space="preserve">2012 Act No. 265, </w:t>
      </w:r>
      <w:r w:rsidR="00C45AF1" w:rsidRPr="00C45AF1">
        <w:t xml:space="preserve">Section </w:t>
      </w:r>
      <w:r w:rsidRPr="00C45AF1">
        <w:t>9, provides as follows: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"This act takes effect upon preclearance approval by the United States Department of Justice or approval by a declaratory judgment issued by the United States District Court for the District of Columbia, whichever occurs first."</w:t>
      </w:r>
    </w:p>
    <w:p w:rsidR="00C45AF1" w:rsidRP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5AF1">
        <w:t>Preclearance approval for 2012 Act No. 265 was received on October 1, 2012.</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40.</w:t>
      </w:r>
      <w:r w:rsidR="00655593" w:rsidRPr="00C45AF1">
        <w:t xml:space="preserve"> Reports to be furnished by Bureau of Vital Statistics.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 xml:space="preserve">The Bureau of Vital Statistics must furnish the executive director a monthly report of all persons eighteen years of age or older who have died in the State since making the previous report. All reports must contain </w:t>
      </w:r>
      <w:r w:rsidRPr="00C45AF1">
        <w:lastRenderedPageBreak/>
        <w:t>the name of the deceased, county of residence, his social security or other identification number, and his date and place of birth. The bureau must provide this information at no charge.</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593" w:rsidRPr="00C45AF1">
        <w:t xml:space="preserve">: 1962 Code </w:t>
      </w:r>
      <w:r w:rsidRPr="00C45AF1">
        <w:t xml:space="preserve">Section </w:t>
      </w:r>
      <w:r w:rsidR="00655593" w:rsidRPr="00C45AF1">
        <w:t>23</w:t>
      </w:r>
      <w:r w:rsidRPr="00C45AF1">
        <w:noBreakHyphen/>
      </w:r>
      <w:r w:rsidR="00655593" w:rsidRPr="00C45AF1">
        <w:t xml:space="preserve">33; 1967 (55) 657; 1968 (55) 2316; 1996 Act No. 434, </w:t>
      </w:r>
      <w:r w:rsidRPr="00C45AF1">
        <w:t xml:space="preserve">Section </w:t>
      </w:r>
      <w:r w:rsidR="00655593" w:rsidRPr="00C45AF1">
        <w:t xml:space="preserve">1, eff June 4, 1996; 2012 Act No. 265, </w:t>
      </w:r>
      <w:r w:rsidRPr="00C45AF1">
        <w:t xml:space="preserve">Section </w:t>
      </w:r>
      <w:r w:rsidR="00655593" w:rsidRPr="00C45AF1">
        <w:t>6, eff upon preclearance approval or declaratory judgment.</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Editor's Note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 xml:space="preserve">2012 Act No. 265, </w:t>
      </w:r>
      <w:r w:rsidR="00C45AF1" w:rsidRPr="00C45AF1">
        <w:t xml:space="preserve">Section </w:t>
      </w:r>
      <w:r w:rsidRPr="00C45AF1">
        <w:t>9, provides as follows: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"This act takes effect upon preclearance approval by the United States Department of Justice or approval by a declaratory judgment issued by the United States District Court for the District of Columbia, whichever occurs first."</w:t>
      </w:r>
    </w:p>
    <w:p w:rsidR="00C45AF1" w:rsidRP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5AF1">
        <w:t>Preclearance approval for 2012 Act No. 265 was received on October 1, 2012.</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50.</w:t>
      </w:r>
      <w:r w:rsidR="00655593" w:rsidRPr="00C45AF1">
        <w:t xml:space="preserve"> Information to be furnished by boards.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593" w:rsidRPr="00C45AF1">
        <w:t xml:space="preserve">: 1962 Code </w:t>
      </w:r>
      <w:r w:rsidRPr="00C45AF1">
        <w:t xml:space="preserve">Section </w:t>
      </w:r>
      <w:r w:rsidR="00655593" w:rsidRPr="00C45AF1">
        <w:t>23</w:t>
      </w:r>
      <w:r w:rsidRPr="00C45AF1">
        <w:noBreakHyphen/>
      </w:r>
      <w:r w:rsidR="00655593" w:rsidRPr="00C45AF1">
        <w:t xml:space="preserve">34; 1967 (55) 657; 1968 (55) 2316; 1984 Act No. 510, </w:t>
      </w:r>
      <w:r w:rsidRPr="00C45AF1">
        <w:t xml:space="preserve">Section </w:t>
      </w:r>
      <w:r w:rsidR="00655593" w:rsidRPr="00C45AF1">
        <w:t>1, eff June 28, 1984.</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60.</w:t>
      </w:r>
      <w:r w:rsidR="00655593" w:rsidRPr="00C45AF1">
        <w:t xml:space="preserve"> Clerks and magistrates shall report persons convicted of certain offenses.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5593" w:rsidRPr="00C45AF1">
        <w:t xml:space="preserve">: 1962 Code </w:t>
      </w:r>
      <w:r w:rsidRPr="00C45AF1">
        <w:t xml:space="preserve">Section </w:t>
      </w:r>
      <w:r w:rsidR="00655593" w:rsidRPr="00C45AF1">
        <w:t>23</w:t>
      </w:r>
      <w:r w:rsidRPr="00C45AF1">
        <w:noBreakHyphen/>
      </w:r>
      <w:r w:rsidR="00655593" w:rsidRPr="00C45AF1">
        <w:t xml:space="preserve">92; 1952 Code </w:t>
      </w:r>
      <w:r w:rsidRPr="00C45AF1">
        <w:t xml:space="preserve">Section </w:t>
      </w:r>
      <w:r w:rsidR="00655593" w:rsidRPr="00C45AF1">
        <w:t>23</w:t>
      </w:r>
      <w:r w:rsidRPr="00C45AF1">
        <w:noBreakHyphen/>
      </w:r>
      <w:r w:rsidR="00655593" w:rsidRPr="00C45AF1">
        <w:t>92; 1950 (46) 2059; 1967 (55) 657; 1968 (55) 2316; 1984 Act No. 289, eff March 5, 1984.</w:t>
      </w:r>
    </w:p>
    <w:p w:rsidR="00C45AF1" w:rsidRP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rPr>
          <w:b/>
        </w:rPr>
        <w:t xml:space="preserve">SECTION </w:t>
      </w:r>
      <w:r w:rsidR="00655593" w:rsidRPr="00C45AF1">
        <w:rPr>
          <w:b/>
        </w:rPr>
        <w:t>7</w:t>
      </w:r>
      <w:r w:rsidRPr="00C45AF1">
        <w:rPr>
          <w:b/>
        </w:rPr>
        <w:noBreakHyphen/>
      </w:r>
      <w:r w:rsidR="00655593" w:rsidRPr="00C45AF1">
        <w:rPr>
          <w:b/>
        </w:rPr>
        <w:t>3</w:t>
      </w:r>
      <w:r w:rsidRPr="00C45AF1">
        <w:rPr>
          <w:b/>
        </w:rPr>
        <w:noBreakHyphen/>
      </w:r>
      <w:r w:rsidR="00655593" w:rsidRPr="00C45AF1">
        <w:rPr>
          <w:b/>
        </w:rPr>
        <w:t>70.</w:t>
      </w:r>
      <w:r w:rsidR="00655593" w:rsidRPr="00C45AF1">
        <w:t xml:space="preserve"> Reports furnished by Department of Motor Vehicles.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5AF1" w:rsidRDefault="00C45AF1"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5593" w:rsidRPr="00C45AF1">
        <w:t xml:space="preserve">: 2012 Act No. 265, </w:t>
      </w:r>
      <w:r w:rsidRPr="00C45AF1">
        <w:t xml:space="preserve">Section </w:t>
      </w:r>
      <w:r w:rsidR="00655593" w:rsidRPr="00C45AF1">
        <w:t>7, eff upon preclearance approval or declaratory judgment.</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Editor's Note</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 xml:space="preserve">2012 Act No. 265, </w:t>
      </w:r>
      <w:r w:rsidR="00C45AF1" w:rsidRPr="00C45AF1">
        <w:t xml:space="preserve">Section </w:t>
      </w:r>
      <w:r w:rsidRPr="00C45AF1">
        <w:t>9, provides as follows:</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t>"This act takes effect upon preclearance approval by the United States Department of Justice or approval by a declaratory judgment issued by the United States District Court for the District of Columbia, whichever occurs first."</w:t>
      </w:r>
    </w:p>
    <w:p w:rsidR="00C45AF1" w:rsidRDefault="00655593"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5AF1">
        <w:lastRenderedPageBreak/>
        <w:t>Preclearance approval for 2012 Act No. 265 was received on October 1, 2012.</w:t>
      </w:r>
    </w:p>
    <w:p w:rsidR="00F25049" w:rsidRPr="00C45AF1" w:rsidRDefault="00F25049" w:rsidP="00C4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5AF1" w:rsidSect="00C45A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F1" w:rsidRDefault="00C45AF1" w:rsidP="00C45AF1">
      <w:r>
        <w:separator/>
      </w:r>
    </w:p>
  </w:endnote>
  <w:endnote w:type="continuationSeparator" w:id="0">
    <w:p w:rsidR="00C45AF1" w:rsidRDefault="00C45AF1" w:rsidP="00C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F1" w:rsidRPr="00C45AF1" w:rsidRDefault="00C45AF1" w:rsidP="00C45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F1" w:rsidRPr="00C45AF1" w:rsidRDefault="00C45AF1" w:rsidP="00C45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F1" w:rsidRPr="00C45AF1" w:rsidRDefault="00C45AF1" w:rsidP="00C4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F1" w:rsidRDefault="00C45AF1" w:rsidP="00C45AF1">
      <w:r>
        <w:separator/>
      </w:r>
    </w:p>
  </w:footnote>
  <w:footnote w:type="continuationSeparator" w:id="0">
    <w:p w:rsidR="00C45AF1" w:rsidRDefault="00C45AF1" w:rsidP="00C4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F1" w:rsidRPr="00C45AF1" w:rsidRDefault="00C45AF1" w:rsidP="00C45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F1" w:rsidRPr="00C45AF1" w:rsidRDefault="00C45AF1" w:rsidP="00C4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AF1" w:rsidRPr="00C45AF1" w:rsidRDefault="00C45AF1" w:rsidP="00C45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93"/>
    <w:rsid w:val="00655593"/>
    <w:rsid w:val="00C45A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61C2C-BCCC-4BA4-8BB9-99313249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5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55593"/>
    <w:rPr>
      <w:rFonts w:ascii="Courier New" w:eastAsia="Times New Roman" w:hAnsi="Courier New" w:cs="Courier New"/>
      <w:sz w:val="20"/>
      <w:szCs w:val="20"/>
    </w:rPr>
  </w:style>
  <w:style w:type="paragraph" w:styleId="Header">
    <w:name w:val="header"/>
    <w:basedOn w:val="Normal"/>
    <w:link w:val="HeaderChar"/>
    <w:uiPriority w:val="99"/>
    <w:unhideWhenUsed/>
    <w:rsid w:val="00C45AF1"/>
    <w:pPr>
      <w:tabs>
        <w:tab w:val="center" w:pos="4680"/>
        <w:tab w:val="right" w:pos="9360"/>
      </w:tabs>
    </w:pPr>
  </w:style>
  <w:style w:type="character" w:customStyle="1" w:styleId="HeaderChar">
    <w:name w:val="Header Char"/>
    <w:basedOn w:val="DefaultParagraphFont"/>
    <w:link w:val="Header"/>
    <w:uiPriority w:val="99"/>
    <w:rsid w:val="00C45AF1"/>
  </w:style>
  <w:style w:type="paragraph" w:styleId="Footer">
    <w:name w:val="footer"/>
    <w:basedOn w:val="Normal"/>
    <w:link w:val="FooterChar"/>
    <w:uiPriority w:val="99"/>
    <w:unhideWhenUsed/>
    <w:rsid w:val="00C45AF1"/>
    <w:pPr>
      <w:tabs>
        <w:tab w:val="center" w:pos="4680"/>
        <w:tab w:val="right" w:pos="9360"/>
      </w:tabs>
    </w:pPr>
  </w:style>
  <w:style w:type="character" w:customStyle="1" w:styleId="FooterChar">
    <w:name w:val="Footer Char"/>
    <w:basedOn w:val="DefaultParagraphFont"/>
    <w:link w:val="Footer"/>
    <w:uiPriority w:val="99"/>
    <w:rsid w:val="00C45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2353</Words>
  <Characters>13415</Characters>
  <Application>Microsoft Office Word</Application>
  <DocSecurity>0</DocSecurity>
  <Lines>111</Lines>
  <Paragraphs>31</Paragraphs>
  <ScaleCrop>false</ScaleCrop>
  <Company>Legislative Services Agency</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