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342">
        <w:t>CHAPTER 15</w:t>
      </w:r>
    </w:p>
    <w:p w:rsidR="00893342" w:rsidRP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3342">
        <w:t>Prizes and Gifts</w:t>
      </w:r>
      <w:bookmarkStart w:id="0" w:name="_GoBack"/>
      <w:bookmarkEnd w:id="0"/>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10.</w:t>
      </w:r>
      <w:r w:rsidR="005412C3" w:rsidRPr="00893342">
        <w:t xml:space="preserve"> Short title.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This chapter may be cited as the Prizes and Gifts Act.</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20.</w:t>
      </w:r>
      <w:r w:rsidR="005412C3" w:rsidRPr="00893342">
        <w:t xml:space="preserve"> Definitions.</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As used in this chapter: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(1) "Anything of value", "item of value", or "item" means an item or service with monetary value.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(2) "Handling charge" means a charge, fee, or sum of money that is paid by a consumer to receive a prize, gift, or an item of value including, but not limited to, promotional fees, redemption fees, registration fees, or delivery costs.</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(3) "Person" means an individual, corporation, trust, partnership, association, and any other legal entity.</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30.</w:t>
      </w:r>
      <w:r w:rsidR="005412C3" w:rsidRPr="00893342">
        <w:t xml:space="preserve"> Restrictions on representation that a person has won a prize or contest.</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 No person, in connection with the sale, lease, or solicitation for the sale or lease of goods, property, or service, may represent that another person has won anything of value or is the winner of a contest, unless these conditions are met:</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(1) The recipient of the prize, gift, or item of value must be given the prize, gift, or item of value without monetary obligation.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(2) The prize, gift, or item of value must be delivered to the recipient at no expense to the recipient within ten days of the representation.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(B) The use of language that may lead a reasonable person to believe that the person has won a contest or anything of value including, but not limited to, "Congratulations", or "You have won", or "You are the winner of", is considered a representation of the type governed by this section.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(C) This section does not apply to a promotion or contest meeting the requirements or one of the stated exceptions to applicability set forth in Section 37</w:t>
      </w:r>
      <w:r w:rsidR="00893342" w:rsidRPr="00893342">
        <w:noBreakHyphen/>
      </w:r>
      <w:r w:rsidRPr="00893342">
        <w:t>15</w:t>
      </w:r>
      <w:r w:rsidR="00893342" w:rsidRPr="00893342">
        <w:noBreakHyphen/>
      </w:r>
      <w:r w:rsidRPr="00893342">
        <w:t>40.</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40.</w:t>
      </w:r>
      <w:r w:rsidR="005412C3" w:rsidRPr="00893342">
        <w:t xml:space="preserve"> Form and content of disclosures required as prerequisites to representation that person has chance to win something; exceptions; publisher of violative material not liable.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"Award Rules" with the title printed in no less than ten</w:t>
      </w:r>
      <w:r w:rsidR="00893342" w:rsidRPr="00893342">
        <w:noBreakHyphen/>
      </w:r>
      <w:r w:rsidRPr="00893342">
        <w:t>point bold face type and the section containing a description of the prize, gift, or item of value; and these disclosures must be stated: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(a) the actual retail value of each item or prize, which for purposes of this section are: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r>
      <w:r w:rsidRPr="00893342">
        <w:tab/>
        <w:t>(i) the price at which substantial sales of the item were made in the area in which the offer was received within the last one hundred and eighty days; or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r>
      <w:r w:rsidRPr="00893342">
        <w:tab/>
        <w:t>(ii) the actual cost of the item of value, gift, or prize to the person on whose behalf the contest or promotion is conducted plus no more than seven hundred percent, but in no case may the cost exceed the person's good faith estimate of the appraised retail value;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(b) the actual number of each item, gift, or prize to be awarded;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lastRenderedPageBreak/>
        <w:tab/>
      </w:r>
      <w:r w:rsidRPr="00893342">
        <w:tab/>
        <w:t>(c) the odds of receiving an item, gift, or prize; and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(d) a limitation on eligibility of participation in the contest or promotion.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(B) All disclosures required by this chapter to be in writing must comply with the following:</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(1) all dollar values must be stated in Arabic numerals and be preceded by a dollar sign.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(2) the number of each item, gift, or prize to be awarded and the odds of receiving an item, gift, or prize must be stated in Arabic numerals and must be written in a manner that is clear and understandable.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(1) on the face of written materials; or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(2) before requesting or inviting the person to enter into the sale or lease in an oral notification.</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(D) This section does not apply if:</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(1) a participant is asked only to complete and mail, or deposit at a local retail commercial establishment, an entry blank obtainable locally or by mail, or to call in the entry by telephone; or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(2) a participant at no time is required to listen to a sales presentation in order to receive the prize or gift or at no time is required to pay for any merchandise, service, or item of value other than as disclosed in the Award Rules.</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(E) Nothing in this section creates liability for an act by the publisher, owner, agent, or employee of a newspaper, periodical, radio station, television station, cable</w:t>
      </w:r>
      <w:r w:rsidR="00893342" w:rsidRPr="00893342">
        <w:noBreakHyphen/>
      </w:r>
      <w:r w:rsidRPr="00893342">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50.</w:t>
      </w:r>
      <w:r w:rsidR="005412C3" w:rsidRPr="00893342">
        <w:t xml:space="preserve"> Restriction of representation that person has been specially selected.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 No person may represent that another person has been specially selected in connection with the sale, lease, or solicitation for sale or lease of goods, property, or service, unless the selection process is designed to reach particular persons.</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(B) The use of any language that may lead a reasonable person to believe that the person has been specially selected including, but not limited to, "Carefully selected", or "You have been selected to receive", or "You have been chosen", is considered a representation of the type governed by this section.</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60.</w:t>
      </w:r>
      <w:r w:rsidR="005412C3" w:rsidRPr="00893342">
        <w:t xml:space="preserve"> Use of simulated checks or invoices restricted.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In connection with a consumer transaction, no person may issue any writing that simulates or resembles:</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(1) a check, unless the writing clearly and conspicuously discloses its true value and purpose, and the writing would not mislead a reasonable person; or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(2) an invoice, unless the intended recipient of the invoice has contracted for goods, property, or services for which the issuer seeks proper payment.</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70.</w:t>
      </w:r>
      <w:r w:rsidR="005412C3" w:rsidRPr="00893342">
        <w:t xml:space="preserve"> Payment of excessive shipping or handling charges as precondition of receipt of gift or prize prohibited.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lastRenderedPageBreak/>
        <w:tab/>
      </w:r>
      <w:r w:rsidRPr="00893342">
        <w:tab/>
        <w:t>(1) the shipping charges exceed:</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r>
      <w:r w:rsidRPr="00893342">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r>
      <w:r w:rsidRPr="00893342">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r>
      <w:r w:rsidRPr="00893342">
        <w:tab/>
        <w:t>(2) the handling charge exceeds the lesser of five dollars or the actual cost of handling.</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(B) This section applies to all offers of prizes, gifts, or items of value covered by this chapter.</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80.</w:t>
      </w:r>
      <w:r w:rsidR="005412C3" w:rsidRPr="00893342">
        <w:t xml:space="preserve"> Civil actions to enforce chapter; costs.</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 consumer who suffers loss by reason of a violation of this chapter may bring a civil action to enforce the provisions and, if successful in the action, shall recover reasonable attorney's fees and court costs incurred by bringing the action.</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90.</w:t>
      </w:r>
      <w:r w:rsidR="005412C3" w:rsidRPr="00893342">
        <w:t xml:space="preserve"> Violation of this chapter is unfair trade practice.</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A violation of this chapter constitutes a prohibited practice under the provisions of the Unfair Trade Practices Act and is subject to any of the enforcement provisions of that act.</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2C3" w:rsidRPr="00893342">
        <w:t xml:space="preserve">: 1994 Act No. 483, </w:t>
      </w:r>
      <w:r w:rsidRPr="00893342">
        <w:t xml:space="preserve">Section </w:t>
      </w:r>
      <w:r w:rsidR="005412C3" w:rsidRPr="00893342">
        <w:t>1.</w:t>
      </w:r>
    </w:p>
    <w:p w:rsidR="00893342" w:rsidRP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rPr>
          <w:b/>
        </w:rPr>
        <w:t xml:space="preserve">SECTION </w:t>
      </w:r>
      <w:r w:rsidR="005412C3" w:rsidRPr="00893342">
        <w:rPr>
          <w:b/>
        </w:rPr>
        <w:t>37</w:t>
      </w:r>
      <w:r w:rsidRPr="00893342">
        <w:rPr>
          <w:b/>
        </w:rPr>
        <w:noBreakHyphen/>
      </w:r>
      <w:r w:rsidR="005412C3" w:rsidRPr="00893342">
        <w:rPr>
          <w:b/>
        </w:rPr>
        <w:t>15</w:t>
      </w:r>
      <w:r w:rsidRPr="00893342">
        <w:rPr>
          <w:b/>
        </w:rPr>
        <w:noBreakHyphen/>
      </w:r>
      <w:r w:rsidR="005412C3" w:rsidRPr="00893342">
        <w:rPr>
          <w:b/>
        </w:rPr>
        <w:t>100.</w:t>
      </w:r>
      <w:r w:rsidR="005412C3" w:rsidRPr="00893342">
        <w:t xml:space="preserve"> Procedures exempted from application of sections 37</w:t>
      </w:r>
      <w:r w:rsidRPr="00893342">
        <w:noBreakHyphen/>
      </w:r>
      <w:r w:rsidR="005412C3" w:rsidRPr="00893342">
        <w:t>15</w:t>
      </w:r>
      <w:r w:rsidRPr="00893342">
        <w:noBreakHyphen/>
      </w:r>
      <w:r w:rsidR="005412C3" w:rsidRPr="00893342">
        <w:t>40 through 37</w:t>
      </w:r>
      <w:r w:rsidRPr="00893342">
        <w:noBreakHyphen/>
      </w:r>
      <w:r w:rsidR="005412C3" w:rsidRPr="00893342">
        <w:t>15</w:t>
      </w:r>
      <w:r w:rsidRPr="00893342">
        <w:noBreakHyphen/>
      </w:r>
      <w:r w:rsidR="005412C3" w:rsidRPr="00893342">
        <w:t>70.</w:t>
      </w:r>
    </w:p>
    <w:p w:rsidR="00893342" w:rsidRDefault="005412C3"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3342">
        <w:tab/>
        <w:t>Sections 37</w:t>
      </w:r>
      <w:r w:rsidR="00893342" w:rsidRPr="00893342">
        <w:noBreakHyphen/>
      </w:r>
      <w:r w:rsidRPr="00893342">
        <w:t>15</w:t>
      </w:r>
      <w:r w:rsidR="00893342" w:rsidRPr="00893342">
        <w:noBreakHyphen/>
      </w:r>
      <w:r w:rsidRPr="00893342">
        <w:t>40 through 37</w:t>
      </w:r>
      <w:r w:rsidR="00893342" w:rsidRPr="00893342">
        <w:noBreakHyphen/>
      </w:r>
      <w:r w:rsidRPr="00893342">
        <w:t>15</w:t>
      </w:r>
      <w:r w:rsidR="00893342" w:rsidRPr="00893342">
        <w:noBreakHyphen/>
      </w:r>
      <w:r w:rsidRPr="00893342">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3342" w:rsidRDefault="00893342"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2C3" w:rsidRPr="00893342">
        <w:t xml:space="preserve">: 1994 Act No. 483, </w:t>
      </w:r>
      <w:r w:rsidRPr="00893342">
        <w:t xml:space="preserve">Section </w:t>
      </w:r>
      <w:r w:rsidR="005412C3" w:rsidRPr="00893342">
        <w:t>1.</w:t>
      </w:r>
    </w:p>
    <w:p w:rsidR="00F25049" w:rsidRPr="00893342" w:rsidRDefault="00F25049" w:rsidP="00893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3342" w:rsidSect="008933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42" w:rsidRDefault="00893342" w:rsidP="00893342">
      <w:r>
        <w:separator/>
      </w:r>
    </w:p>
  </w:endnote>
  <w:endnote w:type="continuationSeparator" w:id="0">
    <w:p w:rsidR="00893342" w:rsidRDefault="00893342" w:rsidP="0089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42" w:rsidRPr="00893342" w:rsidRDefault="00893342" w:rsidP="00893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42" w:rsidRPr="00893342" w:rsidRDefault="00893342" w:rsidP="00893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42" w:rsidRPr="00893342" w:rsidRDefault="00893342" w:rsidP="00893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42" w:rsidRDefault="00893342" w:rsidP="00893342">
      <w:r>
        <w:separator/>
      </w:r>
    </w:p>
  </w:footnote>
  <w:footnote w:type="continuationSeparator" w:id="0">
    <w:p w:rsidR="00893342" w:rsidRDefault="00893342" w:rsidP="0089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42" w:rsidRPr="00893342" w:rsidRDefault="00893342" w:rsidP="00893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42" w:rsidRPr="00893342" w:rsidRDefault="00893342" w:rsidP="00893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342" w:rsidRPr="00893342" w:rsidRDefault="00893342" w:rsidP="00893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C3"/>
    <w:rsid w:val="005412C3"/>
    <w:rsid w:val="008933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AAF42-8A20-432A-8F4C-49BB7D12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12C3"/>
    <w:rPr>
      <w:rFonts w:ascii="Courier New" w:eastAsiaTheme="minorEastAsia" w:hAnsi="Courier New" w:cs="Courier New"/>
      <w:sz w:val="20"/>
      <w:szCs w:val="20"/>
    </w:rPr>
  </w:style>
  <w:style w:type="paragraph" w:styleId="Header">
    <w:name w:val="header"/>
    <w:basedOn w:val="Normal"/>
    <w:link w:val="HeaderChar"/>
    <w:uiPriority w:val="99"/>
    <w:unhideWhenUsed/>
    <w:rsid w:val="00893342"/>
    <w:pPr>
      <w:tabs>
        <w:tab w:val="center" w:pos="4680"/>
        <w:tab w:val="right" w:pos="9360"/>
      </w:tabs>
    </w:pPr>
  </w:style>
  <w:style w:type="character" w:customStyle="1" w:styleId="HeaderChar">
    <w:name w:val="Header Char"/>
    <w:basedOn w:val="DefaultParagraphFont"/>
    <w:link w:val="Header"/>
    <w:uiPriority w:val="99"/>
    <w:rsid w:val="00893342"/>
  </w:style>
  <w:style w:type="paragraph" w:styleId="Footer">
    <w:name w:val="footer"/>
    <w:basedOn w:val="Normal"/>
    <w:link w:val="FooterChar"/>
    <w:uiPriority w:val="99"/>
    <w:unhideWhenUsed/>
    <w:rsid w:val="00893342"/>
    <w:pPr>
      <w:tabs>
        <w:tab w:val="center" w:pos="4680"/>
        <w:tab w:val="right" w:pos="9360"/>
      </w:tabs>
    </w:pPr>
  </w:style>
  <w:style w:type="character" w:customStyle="1" w:styleId="FooterChar">
    <w:name w:val="Footer Char"/>
    <w:basedOn w:val="DefaultParagraphFont"/>
    <w:link w:val="Footer"/>
    <w:uiPriority w:val="99"/>
    <w:rsid w:val="00893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