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CDC">
        <w:t>CHAPTER 85</w:t>
      </w:r>
    </w:p>
    <w:p w:rsidR="00323CDC" w:rsidRP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3CDC">
        <w:t>Consolidations and Mortgage Insurance</w:t>
      </w:r>
      <w:bookmarkStart w:id="0" w:name="_GoBack"/>
      <w:bookmarkEnd w:id="0"/>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10.</w:t>
      </w:r>
      <w:r w:rsidR="003B2231" w:rsidRPr="00323CDC">
        <w:t xml:space="preserve"> Application of chapter.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This chapter applies to:</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(1) all consolidations, whether the old coverage is provided under an individual or group policy;</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(2) all mortgage insurance offered, issued, or delivered in this State, by mail or otherwise, in connection with consolidations.</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2.</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20.</w:t>
      </w:r>
      <w:r w:rsidR="003B2231" w:rsidRPr="00323CDC">
        <w:t xml:space="preserve"> Definitions.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In this chapter, unless the context clearly indicates otherwise: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(1) "Consolidation" means any transaction in which a financial institution makes its premium collection services available to its mortgage debtors in connection with a particular insurer's offer of mortgage insurance, which offer is made to debtors who, immediately prior to the offer, had mortgage insurance and were paying premiums for that insurance with their monthly mortgage payments.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(2) "Financial institution" or "servicer" means any entity or organization that services mortgage loans by collecting and accounting for monthly mortgage payments.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(3) "Loan transfer" means a transaction in which the servicing of a block of mortgage loans is transferred from one servicer to another.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(4) "Loan transfer consolidation" means a consolidation involving debtors whose mortgage loans have been transferred from one servicer to another.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(5) "Mortgage" or "mortgage loan" means an indebtedness which is secured by real estate and which is not subject to the South Carolina Consumer Protection Code (Title 37 of the 1976 Code).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(6) "Mortgage insurance" means life, accidental death, or disability insurance, or any combination of these, designed to pay off all or a part of the mortgage loan in the event of the insured's death or disability.</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(7) "New coverage" or "new plan" means the mortgage insurance coverage or mortgage insurance plan sponsored by the financial institution in connection with a consolidation.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(8) "Old coverage" or "old plan" means the mortgage insurance coverage or mortgage insurance plan the insured debtor had or participated in immediately prior to the consolidation.</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2.</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30.</w:t>
      </w:r>
      <w:r w:rsidR="003B2231" w:rsidRPr="00323CDC">
        <w:t xml:space="preserve"> Requirements for insurer's participation in consolidation.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(A) No insurer may participate in any consolidation, other than a loan transfer consolidation, unless it complies with the following requirements: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(1) The offer of new coverage must be made to the mortgage debtors not less than thirty days prior to the proposed effective date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(2) In conjunction with the offer of new coverage, the new insurer shall disclose in writing to each debtor the following:</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(a) that the insured debtor may have the right to continue or convert his old coverage by paying premiums directly to the old insurer;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(b) that the offer of new coverage is not conditioned upon either the termination or replacement of the old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(c) the name and address of the old and the new insurer;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(d) the effective date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(e) that the financial institution is the primary beneficiary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(f) whether premium rates under the new plan are guaranteed;</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(g) material differences between the new plan and the old plan;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r>
      <w:r w:rsidRPr="00323CDC">
        <w:tab/>
        <w:t>(h) that payment of the required premium constitutes acceptance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(C) Disclosures required under this section may be made on behalf of the new insurer by the financial institution.</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2.</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40.</w:t>
      </w:r>
      <w:r w:rsidR="003B2231" w:rsidRPr="00323CDC">
        <w:t xml:space="preserve"> Loan transfer consolidations.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The following provisions apply to loan transfer consolidations: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(2) In conjunction with the offer of new coverage, the new insurer shall disclose in writing to each debtor the following:</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(a) that the insured debtor may have the right to continue or convert his old coverage by paying premiums directly to the old insurer;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(b) that the offer of new coverage is not conditioned upon either the termination or replacement of the old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(c) the name and address of the new insurer;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(d) the effective date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(e) that the financial institution is the primary beneficiary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(f) whether premium rates under the new plan are guaranteed;</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(g) a description of the benefits provided under the new plan;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(h) that payment of the required premium constitutes acceptance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(3) Disclosures required under this section may be made on behalf of the new insurer by the new servicer.</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2.</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50.</w:t>
      </w:r>
      <w:r w:rsidR="003B2231" w:rsidRPr="00323CDC">
        <w:t xml:space="preserve"> Additional requirements for insurer's participation in consolidations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No insurer may participate in any consolidation, including loan transfer consolidations, unless it complies with the following requirements: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(1) A group certificate must be delivered to each debtor insured under the new plan. The group certificate shall include the following information: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(a) the name or names of the single or joint insureds;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(b) identification of the insured mortgage;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(c) the amount of insurance under the new plan;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(d) the premium for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(e) the effective date of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r>
      <w:r w:rsidRPr="00323CDC">
        <w:tab/>
        <w:t>(f) the beneficiary for the new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(2) A group certificate evidencing the new coverage may not include a contestability clause or, in the case of mortgage life insurance, a provision excluding suicide.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(3) The new coverage offered to the debtor must be the same type of coverage as the old coverage.</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(4) Notwithstanding the provisions of Section 38</w:t>
      </w:r>
      <w:r w:rsidR="00323CDC" w:rsidRPr="00323CDC">
        <w:noBreakHyphen/>
      </w:r>
      <w:r w:rsidRPr="00323CDC">
        <w:t>65</w:t>
      </w:r>
      <w:r w:rsidR="00323CDC" w:rsidRPr="00323CDC">
        <w:noBreakHyphen/>
      </w:r>
      <w:r w:rsidRPr="00323CDC">
        <w:t xml:space="preserve">210, all group mortgage life insurance certificates shall include a conversion privilege permitting an insured debtor to convert, without evidence of insurability, to an individual policy of decreasing term insurance within thirty days of the date the insured debtor's group coverage is terminated for any reason other than the nonpayment of premiums. The initial amount of coverage under the individual policy must be an amount equal to the amount of coverage </w:t>
      </w:r>
      <w:r w:rsidRPr="00323CDC">
        <w:lastRenderedPageBreak/>
        <w:t>terminated under the group policy and must decrease over a term that corresponds with the scheduled term of the insured debtor's mortgage loan.</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(5) Whenever the offer of coverage under the new plan is based on the same premium as charged under the old plan, all supplemental benefits provided by the old plan must be provided by the new plan.</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2.</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60.</w:t>
      </w:r>
      <w:r w:rsidR="003B2231" w:rsidRPr="00323CDC">
        <w:t xml:space="preserve"> Premiums.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323CDC" w:rsidRPr="00323CDC">
        <w:noBreakHyphen/>
      </w:r>
      <w:r w:rsidRPr="00323CDC">
        <w:t>55</w:t>
      </w:r>
      <w:r w:rsidR="00323CDC" w:rsidRPr="00323CDC">
        <w:noBreakHyphen/>
      </w:r>
      <w:r w:rsidRPr="00323CDC">
        <w:t>50 and 38</w:t>
      </w:r>
      <w:r w:rsidR="00323CDC" w:rsidRPr="00323CDC">
        <w:noBreakHyphen/>
      </w:r>
      <w:r w:rsidRPr="00323CDC">
        <w:t>57</w:t>
      </w:r>
      <w:r w:rsidR="00323CDC" w:rsidRPr="00323CDC">
        <w:noBreakHyphen/>
      </w:r>
      <w:r w:rsidRPr="00323CDC">
        <w:t>120, so long as all the applicable requirements of this chapter are met.</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2.</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70.</w:t>
      </w:r>
      <w:r w:rsidR="003B2231" w:rsidRPr="00323CDC">
        <w:t xml:space="preserve"> Group policy or group certificate of mortgage insurance to be filed with and approved by director.</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2231" w:rsidRPr="00323CDC">
        <w:t xml:space="preserve">: 1988 Act No. 382, </w:t>
      </w:r>
      <w:r w:rsidRPr="00323CDC">
        <w:t xml:space="preserve">Section </w:t>
      </w:r>
      <w:r w:rsidR="003B2231" w:rsidRPr="00323CDC">
        <w:t xml:space="preserve">2; 1993 Act No. 181, </w:t>
      </w:r>
      <w:r w:rsidRPr="00323CDC">
        <w:t xml:space="preserve">Section </w:t>
      </w:r>
      <w:r w:rsidR="003B2231" w:rsidRPr="00323CDC">
        <w:t>834.</w:t>
      </w:r>
    </w:p>
    <w:p w:rsidR="00323CDC" w:rsidRP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rPr>
          <w:b/>
        </w:rPr>
        <w:t xml:space="preserve">SECTION </w:t>
      </w:r>
      <w:r w:rsidR="003B2231" w:rsidRPr="00323CDC">
        <w:rPr>
          <w:b/>
        </w:rPr>
        <w:t>38</w:t>
      </w:r>
      <w:r w:rsidRPr="00323CDC">
        <w:rPr>
          <w:b/>
        </w:rPr>
        <w:noBreakHyphen/>
      </w:r>
      <w:r w:rsidR="003B2231" w:rsidRPr="00323CDC">
        <w:rPr>
          <w:b/>
        </w:rPr>
        <w:t>85</w:t>
      </w:r>
      <w:r w:rsidRPr="00323CDC">
        <w:rPr>
          <w:b/>
        </w:rPr>
        <w:noBreakHyphen/>
      </w:r>
      <w:r w:rsidR="003B2231" w:rsidRPr="00323CDC">
        <w:rPr>
          <w:b/>
        </w:rPr>
        <w:t>80.</w:t>
      </w:r>
      <w:r w:rsidR="003B2231" w:rsidRPr="00323CDC">
        <w:t xml:space="preserve"> Authorization to promulgate regulations.</w:t>
      </w:r>
    </w:p>
    <w:p w:rsidR="00323CDC" w:rsidRDefault="003B2231"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CDC">
        <w:tab/>
        <w:t>The department is authorized to promulgate regulations to implement this chapter.</w:t>
      </w: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CDC" w:rsidRDefault="00323CDC"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2231" w:rsidRPr="00323CDC">
        <w:t xml:space="preserve">: 1988 Act No. 382, </w:t>
      </w:r>
      <w:r w:rsidRPr="00323CDC">
        <w:t xml:space="preserve">Section </w:t>
      </w:r>
      <w:r w:rsidR="003B2231" w:rsidRPr="00323CDC">
        <w:t xml:space="preserve">2; 1993 Act No. 181, </w:t>
      </w:r>
      <w:r w:rsidRPr="00323CDC">
        <w:t xml:space="preserve">Section </w:t>
      </w:r>
      <w:r w:rsidR="003B2231" w:rsidRPr="00323CDC">
        <w:t>835.</w:t>
      </w:r>
    </w:p>
    <w:p w:rsidR="00F25049" w:rsidRPr="00323CDC" w:rsidRDefault="00F25049" w:rsidP="00323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3CDC" w:rsidSect="00323C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CDC" w:rsidRDefault="00323CDC" w:rsidP="00323CDC">
      <w:r>
        <w:separator/>
      </w:r>
    </w:p>
  </w:endnote>
  <w:endnote w:type="continuationSeparator" w:id="0">
    <w:p w:rsidR="00323CDC" w:rsidRDefault="00323CDC" w:rsidP="0032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DC" w:rsidRPr="00323CDC" w:rsidRDefault="00323CDC" w:rsidP="00323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DC" w:rsidRPr="00323CDC" w:rsidRDefault="00323CDC" w:rsidP="0032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DC" w:rsidRPr="00323CDC" w:rsidRDefault="00323CDC" w:rsidP="0032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CDC" w:rsidRDefault="00323CDC" w:rsidP="00323CDC">
      <w:r>
        <w:separator/>
      </w:r>
    </w:p>
  </w:footnote>
  <w:footnote w:type="continuationSeparator" w:id="0">
    <w:p w:rsidR="00323CDC" w:rsidRDefault="00323CDC" w:rsidP="0032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DC" w:rsidRPr="00323CDC" w:rsidRDefault="00323CDC" w:rsidP="0032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DC" w:rsidRPr="00323CDC" w:rsidRDefault="00323CDC" w:rsidP="00323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CDC" w:rsidRPr="00323CDC" w:rsidRDefault="00323CDC" w:rsidP="00323C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31"/>
    <w:rsid w:val="00323CDC"/>
    <w:rsid w:val="003B22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F0873-6D1B-4744-8A1D-796E55B0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2231"/>
    <w:rPr>
      <w:rFonts w:ascii="Courier New" w:eastAsiaTheme="minorEastAsia" w:hAnsi="Courier New" w:cs="Courier New"/>
      <w:sz w:val="20"/>
      <w:szCs w:val="20"/>
    </w:rPr>
  </w:style>
  <w:style w:type="paragraph" w:styleId="Header">
    <w:name w:val="header"/>
    <w:basedOn w:val="Normal"/>
    <w:link w:val="HeaderChar"/>
    <w:uiPriority w:val="99"/>
    <w:unhideWhenUsed/>
    <w:rsid w:val="00323CDC"/>
    <w:pPr>
      <w:tabs>
        <w:tab w:val="center" w:pos="4680"/>
        <w:tab w:val="right" w:pos="9360"/>
      </w:tabs>
    </w:pPr>
  </w:style>
  <w:style w:type="character" w:customStyle="1" w:styleId="HeaderChar">
    <w:name w:val="Header Char"/>
    <w:basedOn w:val="DefaultParagraphFont"/>
    <w:link w:val="Header"/>
    <w:uiPriority w:val="99"/>
    <w:rsid w:val="00323CDC"/>
  </w:style>
  <w:style w:type="paragraph" w:styleId="Footer">
    <w:name w:val="footer"/>
    <w:basedOn w:val="Normal"/>
    <w:link w:val="FooterChar"/>
    <w:uiPriority w:val="99"/>
    <w:unhideWhenUsed/>
    <w:rsid w:val="00323CDC"/>
    <w:pPr>
      <w:tabs>
        <w:tab w:val="center" w:pos="4680"/>
        <w:tab w:val="right" w:pos="9360"/>
      </w:tabs>
    </w:pPr>
  </w:style>
  <w:style w:type="character" w:customStyle="1" w:styleId="FooterChar">
    <w:name w:val="Footer Char"/>
    <w:basedOn w:val="DefaultParagraphFont"/>
    <w:link w:val="Footer"/>
    <w:uiPriority w:val="99"/>
    <w:rsid w:val="0032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1244</Words>
  <Characters>7094</Characters>
  <Application>Microsoft Office Word</Application>
  <DocSecurity>0</DocSecurity>
  <Lines>59</Lines>
  <Paragraphs>16</Paragraphs>
  <ScaleCrop>false</ScaleCrop>
  <Company>Legislative Services Agency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