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CAA">
        <w:t>CHAPTER 4</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CAA">
        <w:t>South Carolina Public Employee Benefit Authority</w:t>
      </w: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6975" w:rsidRPr="00A37CAA">
        <w:t xml:space="preserve"> 1</w:t>
      </w:r>
    </w:p>
    <w:p w:rsidR="00A37CAA" w:rsidRP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7CAA">
        <w:t>General Provisions</w:t>
      </w:r>
      <w:bookmarkStart w:id="0" w:name="_GoBack"/>
      <w:bookmarkEnd w:id="0"/>
    </w:p>
    <w:p w:rsidR="00A37CAA" w:rsidRP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rPr>
          <w:b/>
        </w:rPr>
        <w:t xml:space="preserve">SECTION </w:t>
      </w:r>
      <w:r w:rsidR="007D6975" w:rsidRPr="00A37CAA">
        <w:rPr>
          <w:b/>
        </w:rPr>
        <w:t>9</w:t>
      </w:r>
      <w:r w:rsidRPr="00A37CAA">
        <w:rPr>
          <w:b/>
        </w:rPr>
        <w:noBreakHyphen/>
      </w:r>
      <w:r w:rsidR="007D6975" w:rsidRPr="00A37CAA">
        <w:rPr>
          <w:b/>
        </w:rPr>
        <w:t>4</w:t>
      </w:r>
      <w:r w:rsidRPr="00A37CAA">
        <w:rPr>
          <w:b/>
        </w:rPr>
        <w:noBreakHyphen/>
      </w:r>
      <w:r w:rsidR="007D6975" w:rsidRPr="00A37CAA">
        <w:rPr>
          <w:b/>
        </w:rPr>
        <w:t>10.</w:t>
      </w:r>
      <w:r w:rsidR="007D6975" w:rsidRPr="00A37CAA">
        <w:t xml:space="preserve"> Authority established; board; composition, term, chair, compensation, and meetings; transfers of authority; executive director; fiduciary duty; personal liability.</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(A) Effective July 1, 2012, there is created the South Carolina Public Employee Benefit Authority. The sole governing body of the authority is a board of directors consisting of eleven members. The functions of the authority must be performed, exercised, and discharged under the supervision and direction of the board of directors.</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(B)(1) The board is composed of:</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(a) three nonrepresentative members appointed by the Governor;</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(b) two members appointed by the President of the Senate, one a nonrepresentative member and one a representative member who is either an active or retired member of SCPORS;</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(c) two members appointed by the Chairman of the Senate Finance Committee, one a nonrepresentative member and one a representative member who is a retired member of SCRS;</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(d) two members appointed by the Speaker of the House of Representatives, one a nonrepresentative member and one a representative member who must be a state employee who is an active contributing member of SCRS; and</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(e) two members appointed by the Chairman of the House Ways and Means Committee, one a nonrepresentative member and one a representative member who is an active contributing member of SCRS employed by a public school district.</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(2) For purposes of the appointments provided by this section, a nonrepresentative member may not belong to those classes of employees and retirees from whom representative members must be appointed.</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(C)(1) A nonrepresentative member may not be appointed to the board unless the person possesses at least one of the following qualifications:</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(a) at least twelve years of professional experience in the financial management of pensions or insurance plans;</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(b) at least twelve years academic experience and holds a bachelor's or higher degree from a college or university as classified by the Carnegie Foundation;</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(c) at least twelve years of professional experience as a certified public accountant with financial management, pension, or insurance audit expertise;</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(d) at least twelve years as a Certified Financial Planner credentialed by the Certified Financial Planner Board of Standards; or</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(e) at least twelve years membership in the South Carolina Bar and extensive experience in one or more of the following areas of law:</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(i) taxation;</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(ii) insurance;</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(iii) health care;</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(iv) securities;</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(v) corporate;</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(vi) finance; or</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(vii) the Employment Retirement Income Security Act (ERISA).</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(2) A representative member may not be appointed to the board unless the person:</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(a) possesses one of the qualifications set forth in item (1); or</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(b) has at least twelve years of public employment experience and holds a bachelor's degree from a college or university as classified by the Carnegie Foundation.</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(D) In making appointments, the appointing authorities shall select members who are representative of the racial, gender, and geographical diversity of the State.</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lastRenderedPageBreak/>
        <w:tab/>
        <w:t>(E) Members of the board shall serve for terms of four years and until their successors are appointed and qualify,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 Vacancies must be filled within sixty days in the manner of original appointment for the unexpired portion of the term. Terms expire after June thirtieth of the year in which the term is due to expire. Upon a person's appointment, the appointing official shall certify to the Secretary of State that the appointee meets or exceeds the qualifications set forth in subsections (B) and (C). A person appointed may not qualify unless he first certifies that he meets or exceeds the qualifications applicable for their appointment. A member may be removed before the term expires only by the Governor for the reasons provided in Section 1</w:t>
      </w:r>
      <w:r w:rsidR="00A37CAA" w:rsidRPr="00A37CAA">
        <w:noBreakHyphen/>
      </w:r>
      <w:r w:rsidRPr="00A37CAA">
        <w:t>3</w:t>
      </w:r>
      <w:r w:rsidR="00A37CAA" w:rsidRPr="00A37CAA">
        <w:noBreakHyphen/>
      </w:r>
      <w:r w:rsidRPr="00A37CAA">
        <w:t>240(C). A member may not be appointed to serve more than two consecutive four</w:t>
      </w:r>
      <w:r w:rsidR="00A37CAA" w:rsidRPr="00A37CAA">
        <w:noBreakHyphen/>
      </w:r>
      <w:r w:rsidRPr="00A37CAA">
        <w:t>year terms, except that a member of the board who has five or more years of consecutive service on the board at the expiration of his term, beginning July 1, 2016, may not be appointed to serve for more than one additional consecutive four</w:t>
      </w:r>
      <w:r w:rsidR="00A37CAA" w:rsidRPr="00A37CAA">
        <w:noBreakHyphen/>
      </w:r>
      <w:r w:rsidRPr="00A37CAA">
        <w:t>year term.</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(F)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(G)(1) Each member shall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 xml:space="preserve">(H) Minimally, the board shall meet quarterly and at other times set by the board. If the chairman considers it more effective, the board may meet by teleconferencing or video conferencing. However, if the agenda of the meeting consists of items that are not exempt from disclosure or the meeting may not be </w:t>
      </w:r>
      <w:r w:rsidRPr="00A37CAA">
        <w:lastRenderedPageBreak/>
        <w:t>closed to the public pursuant to Chapter 4, Title 30, the provisions of Chapter 4, Title 30 apply, and the meeting must be open to the public.</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(I) Effective July 1, 2012, the following offices, divisions, or components of the State Budget and Control Board are transferred to, and incorporated into, an administrative agency of state government to be known as the South Carolina Public Employee Benefit Authority:</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(1) Employee Insurance Program; and</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(2) the Retirement Division.</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(J) 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(K) Members of the board and the executive director, and other employees or agents designated by the board, are fiduciaries of the authority and in discharging their duties as fiduciaries shall act:</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(1) only in the interest of the participants and beneficiaries of the employee benefit plans administered by the authority;</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(2) for the exclusive purpose of providing retirement and insurance benefits to participants and beneficiaries of the employee benefit plans administered by the authority and paying reasonable expenses of administering those employee benefit plans;</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(3) with the care, skill, and caution under the circumstances then prevailing which a prudent person acting in a like capacity and familiar with those matters would use in the conduct of an activity of like character and purpose;</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(4) impartially, taking into account any differing interests of participants and beneficiaries;</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(5) incurring only costs that are appropriate and reasonable; and</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(6) in accordance with a good faith interpretation of this chapter and other applicable provisions of law.</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(L)(1) 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(2) An agreement that purports to limit the liability of a fiduciary for a breach of duty under this section is void.</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(3) The authority may insure a fiduciary or itself against liability or losses occurring because of a breach of duty under this section.</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(4) 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(5) Nothing in this subsection may be construed to limit the applicability of the provisions of Section 9</w:t>
      </w:r>
      <w:r w:rsidR="00A37CAA" w:rsidRPr="00A37CAA">
        <w:noBreakHyphen/>
      </w:r>
      <w:r w:rsidRPr="00A37CAA">
        <w:t>4</w:t>
      </w:r>
      <w:r w:rsidR="00A37CAA" w:rsidRPr="00A37CAA">
        <w:noBreakHyphen/>
      </w:r>
      <w:r w:rsidRPr="00A37CAA">
        <w:t>15.</w:t>
      </w: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6975" w:rsidRPr="00A37CAA">
        <w:t xml:space="preserve">: 2012 Act No. 278, Pt IV, Subpt 1, </w:t>
      </w:r>
      <w:r w:rsidRPr="00A37CAA">
        <w:t xml:space="preserve">Section </w:t>
      </w:r>
      <w:r w:rsidR="007D6975" w:rsidRPr="00A37CAA">
        <w:t xml:space="preserve">30.A, eff July 1, 2012; 2017 Act No. 13 (H.3726), Pt. II, </w:t>
      </w:r>
      <w:r w:rsidRPr="00A37CAA">
        <w:t xml:space="preserve">Section </w:t>
      </w:r>
      <w:r w:rsidR="007D6975" w:rsidRPr="00A37CAA">
        <w:t xml:space="preserve">4, eff July 1, 2017; 2019 Act No. 1 (S.2), </w:t>
      </w:r>
      <w:r w:rsidRPr="00A37CAA">
        <w:t xml:space="preserve">Section </w:t>
      </w:r>
      <w:r w:rsidR="007D6975" w:rsidRPr="00A37CAA">
        <w:t>37, eff January 31, 2019.</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Effect of Amendment</w:t>
      </w:r>
    </w:p>
    <w:p w:rsidR="00A37CAA" w:rsidRP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7CAA">
        <w:t xml:space="preserve">2019 Act No. 1, </w:t>
      </w:r>
      <w:r w:rsidR="00A37CAA" w:rsidRPr="00A37CAA">
        <w:t xml:space="preserve">Section </w:t>
      </w:r>
      <w:r w:rsidRPr="00A37CAA">
        <w:t>37, in (B)(1)(b), substituted "President of the Senate" for "President Pro Tempore of the Senate".</w:t>
      </w:r>
    </w:p>
    <w:p w:rsidR="00A37CAA" w:rsidRP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rPr>
          <w:b/>
        </w:rPr>
        <w:t xml:space="preserve">SECTION </w:t>
      </w:r>
      <w:r w:rsidR="007D6975" w:rsidRPr="00A37CAA">
        <w:rPr>
          <w:b/>
        </w:rPr>
        <w:t>9</w:t>
      </w:r>
      <w:r w:rsidRPr="00A37CAA">
        <w:rPr>
          <w:b/>
        </w:rPr>
        <w:noBreakHyphen/>
      </w:r>
      <w:r w:rsidR="007D6975" w:rsidRPr="00A37CAA">
        <w:rPr>
          <w:b/>
        </w:rPr>
        <w:t>4</w:t>
      </w:r>
      <w:r w:rsidRPr="00A37CAA">
        <w:rPr>
          <w:b/>
        </w:rPr>
        <w:noBreakHyphen/>
      </w:r>
      <w:r w:rsidR="007D6975" w:rsidRPr="00A37CAA">
        <w:rPr>
          <w:b/>
        </w:rPr>
        <w:t>15.</w:t>
      </w:r>
      <w:r w:rsidR="007D6975" w:rsidRPr="00A37CAA">
        <w:t xml:space="preserve"> Obligation to defend and indemnify.</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 xml:space="preserve">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w:t>
      </w:r>
      <w:r w:rsidRPr="00A37CAA">
        <w:lastRenderedPageBreak/>
        <w:t>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as applicable, if the claim or suit arises out of or by virtue of their performance of official duties on behalf of PEBA.</w:t>
      </w: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CAA" w:rsidRP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975" w:rsidRPr="00A37CAA">
        <w:t xml:space="preserve">: 2013 Act No. 24, </w:t>
      </w:r>
      <w:r w:rsidRPr="00A37CAA">
        <w:t xml:space="preserve">Section </w:t>
      </w:r>
      <w:r w:rsidR="007D6975" w:rsidRPr="00A37CAA">
        <w:t>1, eff May 3, 2013.</w:t>
      </w:r>
    </w:p>
    <w:p w:rsidR="00A37CAA" w:rsidRP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rPr>
          <w:b/>
        </w:rPr>
        <w:t xml:space="preserve">SECTION </w:t>
      </w:r>
      <w:r w:rsidR="007D6975" w:rsidRPr="00A37CAA">
        <w:rPr>
          <w:b/>
        </w:rPr>
        <w:t>9</w:t>
      </w:r>
      <w:r w:rsidRPr="00A37CAA">
        <w:rPr>
          <w:b/>
        </w:rPr>
        <w:noBreakHyphen/>
      </w:r>
      <w:r w:rsidR="007D6975" w:rsidRPr="00A37CAA">
        <w:rPr>
          <w:b/>
        </w:rPr>
        <w:t>4</w:t>
      </w:r>
      <w:r w:rsidRPr="00A37CAA">
        <w:rPr>
          <w:b/>
        </w:rPr>
        <w:noBreakHyphen/>
      </w:r>
      <w:r w:rsidR="007D6975" w:rsidRPr="00A37CAA">
        <w:rPr>
          <w:b/>
        </w:rPr>
        <w:t>30.</w:t>
      </w:r>
      <w:r w:rsidR="007D6975" w:rsidRPr="00A37CAA">
        <w:t xml:space="preserve"> Retirement division.</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(2) 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(B) The South Carolina Public Employee Benefits Authority shall provide copies of annual actuarial valuations of all retirement systems requiring such annual valuations to the General Assembly by the second Tuesday in January of every year.</w:t>
      </w: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CAA" w:rsidRP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975" w:rsidRPr="00A37CAA">
        <w:t xml:space="preserve">: 2012 Act No. 278, Pt IV, Subpt 1, </w:t>
      </w:r>
      <w:r w:rsidRPr="00A37CAA">
        <w:t xml:space="preserve">Section </w:t>
      </w:r>
      <w:r w:rsidR="007D6975" w:rsidRPr="00A37CAA">
        <w:t>30.A, eff July 1, 2012.</w:t>
      </w:r>
    </w:p>
    <w:p w:rsidR="00A37CAA" w:rsidRP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rPr>
          <w:b/>
        </w:rPr>
        <w:t xml:space="preserve">SECTION </w:t>
      </w:r>
      <w:r w:rsidR="007D6975" w:rsidRPr="00A37CAA">
        <w:rPr>
          <w:b/>
        </w:rPr>
        <w:t>9</w:t>
      </w:r>
      <w:r w:rsidRPr="00A37CAA">
        <w:rPr>
          <w:b/>
        </w:rPr>
        <w:noBreakHyphen/>
      </w:r>
      <w:r w:rsidR="007D6975" w:rsidRPr="00A37CAA">
        <w:rPr>
          <w:b/>
        </w:rPr>
        <w:t>4</w:t>
      </w:r>
      <w:r w:rsidRPr="00A37CAA">
        <w:rPr>
          <w:b/>
        </w:rPr>
        <w:noBreakHyphen/>
      </w:r>
      <w:r w:rsidR="007D6975" w:rsidRPr="00A37CAA">
        <w:rPr>
          <w:b/>
        </w:rPr>
        <w:t>40.</w:t>
      </w:r>
      <w:r w:rsidR="007D6975" w:rsidRPr="00A37CAA">
        <w:t xml:space="preserve"> Audit.</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Every four years the State Auditor shall employ a private audit firm to perform a fiduciary audit on the South Carolina Public Employee Benefit Authority. The audit firm must be selected by the State Auditor. A report from the private audit firm must be completed by January 15, 2020, and every four years after that time. Upon completion, the report must be submitted to the Governor, the President of the Senate, the Speaker of the House of Representatives, the Chairman of the Senate Finance Committee, and the Chairman of the House Ways and Means Committee.</w:t>
      </w: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6975" w:rsidRPr="00A37CAA">
        <w:t xml:space="preserve">: 2012 Act No. 278, Pt IV, Subpt 1, </w:t>
      </w:r>
      <w:r w:rsidRPr="00A37CAA">
        <w:t xml:space="preserve">Section </w:t>
      </w:r>
      <w:r w:rsidR="007D6975" w:rsidRPr="00A37CAA">
        <w:t xml:space="preserve">30.A, eff July 1, 2012; 2017 Act No. 13 (H.3726), Pt. II, </w:t>
      </w:r>
      <w:r w:rsidRPr="00A37CAA">
        <w:t xml:space="preserve">Section </w:t>
      </w:r>
      <w:r w:rsidR="007D6975" w:rsidRPr="00A37CAA">
        <w:t xml:space="preserve">5, eff July 1, 2017; 2018 Act No. 148 (H.4868), </w:t>
      </w:r>
      <w:r w:rsidRPr="00A37CAA">
        <w:t xml:space="preserve">Section </w:t>
      </w:r>
      <w:r w:rsidR="007D6975" w:rsidRPr="00A37CAA">
        <w:t xml:space="preserve">1, eff July 1, 2018; 2019 Act No. 1 (S.2), </w:t>
      </w:r>
      <w:r w:rsidRPr="00A37CAA">
        <w:t xml:space="preserve">Section </w:t>
      </w:r>
      <w:r w:rsidR="007D6975" w:rsidRPr="00A37CAA">
        <w:t>38, eff January 31, 2019.</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Effect of Amendment</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 xml:space="preserve">2018 Act No. 148, </w:t>
      </w:r>
      <w:r w:rsidR="00A37CAA" w:rsidRPr="00A37CAA">
        <w:t xml:space="preserve">Section </w:t>
      </w:r>
      <w:r w:rsidRPr="00A37CAA">
        <w:t>1, in the third sentence, substituted "January 15, 2020" for "January 15, 2019".</w:t>
      </w:r>
    </w:p>
    <w:p w:rsidR="00A37CAA" w:rsidRP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7CAA">
        <w:t xml:space="preserve">2019 Act No. 1, </w:t>
      </w:r>
      <w:r w:rsidR="00A37CAA" w:rsidRPr="00A37CAA">
        <w:t xml:space="preserve">Section </w:t>
      </w:r>
      <w:r w:rsidRPr="00A37CAA">
        <w:t>38, in the fourth sentence, substituted "President of the Senate" for "President Pro Tempore of the Senate".</w:t>
      </w:r>
    </w:p>
    <w:p w:rsidR="00A37CAA" w:rsidRP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rPr>
          <w:b/>
        </w:rPr>
        <w:t xml:space="preserve">SECTION </w:t>
      </w:r>
      <w:r w:rsidR="007D6975" w:rsidRPr="00A37CAA">
        <w:rPr>
          <w:b/>
        </w:rPr>
        <w:t>9</w:t>
      </w:r>
      <w:r w:rsidRPr="00A37CAA">
        <w:rPr>
          <w:b/>
        </w:rPr>
        <w:noBreakHyphen/>
      </w:r>
      <w:r w:rsidR="007D6975" w:rsidRPr="00A37CAA">
        <w:rPr>
          <w:b/>
        </w:rPr>
        <w:t>4</w:t>
      </w:r>
      <w:r w:rsidRPr="00A37CAA">
        <w:rPr>
          <w:b/>
        </w:rPr>
        <w:noBreakHyphen/>
      </w:r>
      <w:r w:rsidR="007D6975" w:rsidRPr="00A37CAA">
        <w:rPr>
          <w:b/>
        </w:rPr>
        <w:t>50.</w:t>
      </w:r>
      <w:r w:rsidR="007D6975" w:rsidRPr="00A37CAA">
        <w:t xml:space="preserve"> Transaction register of all funds expended.</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(A) The South Carolina Public Employee Benefit Authority shall maintain a transaction register that includes a complete record of all funds expended, from whatever source for whatever purpose. The register must be prominently posted on the authority's Internet website and made available for public viewing and downloading.</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(1)(a) The register must include for each expenditure:</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(i) the transaction amount;</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(ii) the name of the payee;</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(iii) the identification number of the transaction; and</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(iv) a description of the expenditure, including the source of funds, a category title, and an object title for the expenditure.</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(b) The register must include all reimbursements for expenses, but must not include an entry for:</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(i) salary, wages, or other compensation paid to individual employees; and</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r>
      <w:r w:rsidRPr="00A37CAA">
        <w:tab/>
        <w:t>(ii) retirement benefits, deferred compensation plan distributions, insurance reimbursements, or other payments paid to individual employees, members, or participants, as applicable, pursuant to programs administered by the board.</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(c) The register must not include a social security number.</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(d) The register must be accompanied by a complete explanation of any codes or acronyms used to identify a payee or an expenditure.</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(e) The register may exclude any information that can be used to identify an individual employee or student.</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r>
      <w:r w:rsidRPr="00A37CAA">
        <w:tab/>
        <w:t>(f) This section does not require the posting of any information that is not required to be disclosed under Chapter 4, Title 30.</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r>
      <w:r w:rsidRPr="00A37CAA">
        <w:tab/>
        <w:t>(2) The register must be searchable and updated at least once a month. Each monthly register must be maintained on the Internet website for at least three years.</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(B) Any information that is expressly prohibited from public disclosure by federal or state law or regulation must be redacted from any posting required by this section.</w:t>
      </w:r>
    </w:p>
    <w:p w:rsidR="00A37CAA" w:rsidRDefault="007D6975"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CAA">
        <w:tab/>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6975" w:rsidRPr="00A37CAA">
        <w:t xml:space="preserve">: 2012 Act No. 278, Pt IV, Subpt 1, </w:t>
      </w:r>
      <w:r w:rsidRPr="00A37CAA">
        <w:t xml:space="preserve">Section </w:t>
      </w:r>
      <w:r w:rsidR="007D6975" w:rsidRPr="00A37CAA">
        <w:t>30.A, eff July 1, 2012.</w:t>
      </w:r>
    </w:p>
    <w:p w:rsidR="007250AB" w:rsidRPr="00A37CAA" w:rsidRDefault="00A37CAA" w:rsidP="00A3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37CAA" w:rsidSect="00A37C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CAA" w:rsidRDefault="00A37CAA" w:rsidP="00A37CAA">
      <w:r>
        <w:separator/>
      </w:r>
    </w:p>
  </w:endnote>
  <w:endnote w:type="continuationSeparator" w:id="0">
    <w:p w:rsidR="00A37CAA" w:rsidRDefault="00A37CAA" w:rsidP="00A3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CAA" w:rsidRPr="00A37CAA" w:rsidRDefault="00A37CAA" w:rsidP="00A37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CAA" w:rsidRPr="00A37CAA" w:rsidRDefault="00A37CAA" w:rsidP="00A37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CAA" w:rsidRPr="00A37CAA" w:rsidRDefault="00A37CAA" w:rsidP="00A3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CAA" w:rsidRDefault="00A37CAA" w:rsidP="00A37CAA">
      <w:r>
        <w:separator/>
      </w:r>
    </w:p>
  </w:footnote>
  <w:footnote w:type="continuationSeparator" w:id="0">
    <w:p w:rsidR="00A37CAA" w:rsidRDefault="00A37CAA" w:rsidP="00A37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CAA" w:rsidRPr="00A37CAA" w:rsidRDefault="00A37CAA" w:rsidP="00A37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CAA" w:rsidRPr="00A37CAA" w:rsidRDefault="00A37CAA" w:rsidP="00A37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CAA" w:rsidRPr="00A37CAA" w:rsidRDefault="00A37CAA" w:rsidP="00A37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75"/>
    <w:rsid w:val="00376645"/>
    <w:rsid w:val="00401979"/>
    <w:rsid w:val="004F020F"/>
    <w:rsid w:val="00604E7C"/>
    <w:rsid w:val="006803EC"/>
    <w:rsid w:val="006C1A75"/>
    <w:rsid w:val="007D6975"/>
    <w:rsid w:val="00A37CA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E985E-0CFA-491C-9BFA-6C110035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6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6975"/>
    <w:rPr>
      <w:rFonts w:ascii="Courier New" w:eastAsiaTheme="minorEastAsia" w:hAnsi="Courier New" w:cs="Courier New"/>
      <w:sz w:val="20"/>
      <w:szCs w:val="20"/>
    </w:rPr>
  </w:style>
  <w:style w:type="paragraph" w:styleId="Header">
    <w:name w:val="header"/>
    <w:basedOn w:val="Normal"/>
    <w:link w:val="HeaderChar"/>
    <w:uiPriority w:val="99"/>
    <w:unhideWhenUsed/>
    <w:rsid w:val="00A37CAA"/>
    <w:pPr>
      <w:tabs>
        <w:tab w:val="center" w:pos="4680"/>
        <w:tab w:val="right" w:pos="9360"/>
      </w:tabs>
    </w:pPr>
  </w:style>
  <w:style w:type="character" w:customStyle="1" w:styleId="HeaderChar">
    <w:name w:val="Header Char"/>
    <w:basedOn w:val="DefaultParagraphFont"/>
    <w:link w:val="Header"/>
    <w:uiPriority w:val="99"/>
    <w:rsid w:val="00A37CAA"/>
    <w:rPr>
      <w:rFonts w:cs="Times New Roman"/>
    </w:rPr>
  </w:style>
  <w:style w:type="paragraph" w:styleId="Footer">
    <w:name w:val="footer"/>
    <w:basedOn w:val="Normal"/>
    <w:link w:val="FooterChar"/>
    <w:uiPriority w:val="99"/>
    <w:unhideWhenUsed/>
    <w:rsid w:val="00A37CAA"/>
    <w:pPr>
      <w:tabs>
        <w:tab w:val="center" w:pos="4680"/>
        <w:tab w:val="right" w:pos="9360"/>
      </w:tabs>
    </w:pPr>
  </w:style>
  <w:style w:type="character" w:customStyle="1" w:styleId="FooterChar">
    <w:name w:val="Footer Char"/>
    <w:basedOn w:val="DefaultParagraphFont"/>
    <w:link w:val="Footer"/>
    <w:uiPriority w:val="99"/>
    <w:rsid w:val="00A37C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2387</Words>
  <Characters>13607</Characters>
  <Application>Microsoft Office Word</Application>
  <DocSecurity>0</DocSecurity>
  <Lines>113</Lines>
  <Paragraphs>31</Paragraphs>
  <ScaleCrop>false</ScaleCrop>
  <Company>Legislative Services Agency</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2022-09-23T19:59:00Z</dcterms:created>
  <dcterms:modified xsi:type="dcterms:W3CDTF">2022-09-23T19:59:00Z</dcterms:modified>
</cp:coreProperties>
</file>