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002">
        <w:t>CHAPTER 36</w:t>
      </w:r>
    </w:p>
    <w:p w:rsidR="00B01002" w:rsidRP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01002">
        <w:t>South Carolina Frivolous Civil Proceedings Sanctions Act</w:t>
      </w:r>
      <w:bookmarkStart w:id="0" w:name="_GoBack"/>
      <w:bookmarkEnd w:id="0"/>
    </w:p>
    <w:p w:rsidR="00B01002" w:rsidRPr="00B01002" w:rsidRDefault="00B01002"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01002" w:rsidRDefault="00B01002"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rPr>
          <w:b/>
        </w:rPr>
        <w:t xml:space="preserve">SECTION </w:t>
      </w:r>
      <w:r w:rsidR="00793DB6" w:rsidRPr="00B01002">
        <w:rPr>
          <w:b/>
        </w:rPr>
        <w:t>15</w:t>
      </w:r>
      <w:r w:rsidRPr="00B01002">
        <w:rPr>
          <w:b/>
        </w:rPr>
        <w:noBreakHyphen/>
      </w:r>
      <w:r w:rsidR="00793DB6" w:rsidRPr="00B01002">
        <w:rPr>
          <w:b/>
        </w:rPr>
        <w:t>36</w:t>
      </w:r>
      <w:r w:rsidRPr="00B01002">
        <w:rPr>
          <w:b/>
        </w:rPr>
        <w:noBreakHyphen/>
      </w:r>
      <w:r w:rsidR="00793DB6" w:rsidRPr="00B01002">
        <w:rPr>
          <w:b/>
        </w:rPr>
        <w:t>10.</w:t>
      </w:r>
      <w:r w:rsidR="00793DB6" w:rsidRPr="00B01002">
        <w:t xml:space="preserve"> Frivolous lawsuits; signing pleadings; imposition of sanctions; notice and opportunity to respond; reporting violations.</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t>(A)(1) A pleading filed in a civil or administrative action on behalf of a party who is represented by an attorney must be signed by at least one attorney of record who is an active member of the South Carolina Bar or who is admitted to practice in the courts of this State and must include the address and telephone number of the attorney signing the document.</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t>(2) A document filed in a civil or administrative action by a party who is not represented by an attorney must be signed by the party and must include the address and telephone number of the party.</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t>(3) The signature of an attorney or a pro se litigant constitutes a certificate to the court that:</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r>
      <w:r w:rsidRPr="00B01002">
        <w:tab/>
        <w:t>(a) the person has read the document;</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r>
      <w:r w:rsidRPr="00B01002">
        <w:tab/>
        <w:t>(b) a reasonable attorney in the same circumstances would believe that under the facts his claim or defense may be warranted under the existing law or, if his claim or defense is not warranted under the existing law, a good faith argument exists for the extension, modification, or reversal of existing law;</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r>
      <w:r w:rsidRPr="00B01002">
        <w:tab/>
        <w:t>(c) a reasonable attorney in the same circumstances would believe that his procurement, initiation, continuation, or defense of a civil cause is not intended merely to harass or injure the other party; and</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r>
      <w:r w:rsidRPr="00B01002">
        <w:tab/>
        <w:t>(d) a reasonable attorney in the same circumstances would believe his claim or defense is not frivolous, interposed for delay, or brought for any purpose other than securing proper discovery, joinder of parties, or adjudication of the claim or defense upon which the proceedings are based.</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t>(4) An attorney or pro se litigant participating in a civil or administrative action or defense may be sanctioned for:</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r>
      <w:r w:rsidRPr="00B01002">
        <w:tab/>
        <w:t>(a) filing a frivolous pleading, motion, or document if:</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r>
      <w:r w:rsidRPr="00B01002">
        <w:tab/>
      </w:r>
      <w:r w:rsidRPr="00B01002">
        <w:tab/>
        <w:t>(i) the person has not read the frivolous pleading, motion, or document;</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r>
      <w:r w:rsidRPr="00B01002">
        <w:tab/>
      </w:r>
      <w:r w:rsidRPr="00B01002">
        <w:tab/>
        <w:t>(ii) a reasonable attorney in the same circumstances would believe that under the facts, his claim or defense was clearly not warranted under existing law and that a good faith or reasonable argument did not exist for the extension, modification, or reversal of existing law;</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r>
      <w:r w:rsidRPr="00B01002">
        <w:tab/>
      </w:r>
      <w:r w:rsidRPr="00B01002">
        <w:tab/>
        <w:t>(iii) a reasonable attorney presented with the same circumstances would believe that the procurement, initiation, continuation, or defense of a civil cause was intended merely to harass or injure the other party; or</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r>
      <w:r w:rsidRPr="00B01002">
        <w:tab/>
      </w:r>
      <w:r w:rsidRPr="00B01002">
        <w:tab/>
        <w:t>(iv) a reasonable attorney presented with the same circumstances would believe the pleading, motion, or document is frivolous, interposed for merely delay, or merely brought for any purpose other than securing proper discovery, joinder of parties, or adjudication of the claim or defense upon which the proceedings are based;</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r>
      <w:r w:rsidRPr="00B01002">
        <w:tab/>
        <w:t>(b) making frivolous arguments a reasonable attorney would believe were not reasonably supported by the facts; or</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r>
      <w:r w:rsidRPr="00B01002">
        <w:tab/>
        <w:t>(c) making frivolous arguments that a reasonable attorney would believe were not warranted under the existing law or if there is no good faith argument that exists for the extension, modification, or reversal of existing law.</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t>(B)(1) If a document is not signed or does not otherwise comply with this section, it must be stricken unless it is signed promptly or amended to comply with this section after the omission is called to the attention of the attorney or the party.</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t>(2) If a document is signed in violation of this section, or an attorney or pro se litigant has violated subsection (A)(4), the court, upon its own motion or motion of a party, may impose upon the person in violation any sanction which the court considers just, equitable, and proper under the circumstances.</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t>(C)(1) At the conclusion of a trial and after a verdict for or a verdict against damages has been rendered or a case has been dismissed by a directed verdict, summary judgment, or judgment notwithstanding the verdict, upon motion of the prevailing party, the court shall proceed to determine if the claim or defense was frivolous. An attorney, party, or pro se litigant shall be sanctioned for a frivolous claim or defense if the court finds the attorney, party, or pro se litigant failed to comply with one of the following conditions:</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lastRenderedPageBreak/>
        <w:tab/>
      </w:r>
      <w:r w:rsidRPr="00B01002">
        <w:tab/>
      </w:r>
      <w:r w:rsidRPr="00B01002">
        <w:tab/>
        <w:t>(a) a reasonable attorney in the same circumstances would believe that under the facts, his claim or defense was clearly not warranted under existing law and that a good faith or reasonable argument did not exist for the extension, modification, or reversal of existing law;</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r>
      <w:r w:rsidRPr="00B01002">
        <w:tab/>
        <w:t>(b) a reasonable attorney in the same circumstances would believe that his procurement, initiation, continuation, or defense of the civil suit was intended merely to harass or injure the other party; or</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r>
      <w:r w:rsidRPr="00B01002">
        <w:tab/>
        <w:t>(c) a reasonable attorney in the same circumstances would believe that the case or defense was frivolous as not reasonably founded in fact or was interposed merely for delay, or was merely brought for a purpose other than securing proper discovery, joinder of proposed parties, or adjudication of the claim or defense upon which the proceedings are based.</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t>(2) Unless the court finds by a preponderance of the evidence that an attorney, party, or pro se litigant engaged in advancing a frivolous claim or defense, the attorney, party, or pro se litigant shall not be sanctioned.</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t>(D) A person is entitled to notice and an opportunity to respond before the imposition of sanctions pursuant to the provisions of this section. A court or party proposing a sanction pursuant to this section shall notify the court and all parties of the conduct constituting a violation of the provisions of this section and explain the basis for the potential sanction imposed. Upon notification, the attorney, party, or pro se litigant who allegedly violated subsection (A)(4) has thirty days to respond to the allegations as that person considers appropriate including, but not limited to, by filing a motion to withdraw the pleading, motion, document, or argument or by offering an explanation of mitigation.</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t>(E) In determining if an attorney, party, or a pro se litigant has violated the provisions of this section, the court shall take into account:</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t>(1) the number of parties;</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t>(2) the complexity of the claims and defenses;</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t>(3) the length of time available to the attorney, party, or pro se litigant to investigate and conduct discovery for alleged violations of the provisions of subsection (A)(4);</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t>(4) information disclosed or undisclosed to the attorney, party, or pro se litigant through discovery and adequate investigation;</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t>(5) previous violations of the provisions of this section;</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t>(6) the response, if any, of the attorney, party, or pro se litigant to the allegation that he violated the provisions of this section; and</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t>(7) other factors the court considers just, equitable, or appropriate under the circumstances.</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t>(F) In determining whether sanctions are appropriate or the severity of a sanction, the court shall consider previous violations of the provisions of this section.</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t>(G) Sanctions may include:</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t>(1) an order for the party represented by an attorney or pro se litigant to pay the reasonable costs and attorney's fees of the prevailing party under a motion pursuant to this section. Costs shall include, but not be limited to, the following: the time required of the prevailing party by the frivolous proceeding, and travel expenses, mileage, parking, costs of reports, and any additional reasonable consequential expenses of the prevailing party resulting from the frivolous proceeding;</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t>(2) an order for the attorney to pay a reasonable fine to the court; or</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t>(3) a directive of a nonmonetary nature, including injunctive relief, designed to deter a future frivolous action or an action in bad faith.</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t>(H) If the court imposes a sanction on an attorney in violation of the provisions of this section, the court shall report its findings to the South Carolina Commission of Lawyer Conduct.</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t>(I) This act shall not alter the South Carolina Rules of Civil Procedure or the South Carolina Appellate Court Rules.</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t>(J) The provisions of this section shall not apply where an attorney or pro se litigant establishes a basis to proceed with litigation, or to assert or controvert an issue therein, that is not frivolous, which includes a good faith argument for an extension, modification, or reversal of the existing law.</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t>(K) The provisions of this section apply in addition to all other remedies available at law or in equity.</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t>(L) The amount requested for damages in a pleading may not be considered in a determination of a violation of the provisions of this section.</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t>(M) All violations of the provisions of this section must be reported to the South Carolina Supreme Court and a public record must be maintained and reported annually to the Governor, Senate, and House of Representatives.</w:t>
      </w:r>
    </w:p>
    <w:p w:rsidR="00B01002" w:rsidRDefault="00B01002"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1002" w:rsidRDefault="00B01002"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DB6" w:rsidRPr="00B01002">
        <w:t xml:space="preserve">: 1988 Act No. 432, </w:t>
      </w:r>
      <w:r w:rsidRPr="00B01002">
        <w:t xml:space="preserve">Section </w:t>
      </w:r>
      <w:r w:rsidR="00793DB6" w:rsidRPr="00B01002">
        <w:t xml:space="preserve">6; 2005 Act No. 27, </w:t>
      </w:r>
      <w:r w:rsidRPr="00B01002">
        <w:t xml:space="preserve">Section </w:t>
      </w:r>
      <w:r w:rsidR="00793DB6" w:rsidRPr="00B01002">
        <w:t>5, eff July 1, 2005, applicable to causes of action arising on or after that date.</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Effect of Amendment</w:t>
      </w:r>
    </w:p>
    <w:p w:rsidR="00B01002" w:rsidRP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1002">
        <w:t>The 2005 amendment rewrote this section.</w:t>
      </w:r>
    </w:p>
    <w:p w:rsidR="00B01002" w:rsidRPr="00B01002" w:rsidRDefault="00B01002"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1002" w:rsidRDefault="00B01002"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rPr>
          <w:b/>
        </w:rPr>
        <w:t xml:space="preserve">SECTIONS </w:t>
      </w:r>
      <w:r w:rsidR="00793DB6" w:rsidRPr="00B01002">
        <w:rPr>
          <w:b/>
        </w:rPr>
        <w:t>15</w:t>
      </w:r>
      <w:r w:rsidRPr="00B01002">
        <w:rPr>
          <w:b/>
        </w:rPr>
        <w:noBreakHyphen/>
      </w:r>
      <w:r w:rsidR="00793DB6" w:rsidRPr="00B01002">
        <w:rPr>
          <w:b/>
        </w:rPr>
        <w:t>36</w:t>
      </w:r>
      <w:r w:rsidRPr="00B01002">
        <w:rPr>
          <w:b/>
        </w:rPr>
        <w:noBreakHyphen/>
      </w:r>
      <w:r w:rsidR="00793DB6" w:rsidRPr="00B01002">
        <w:rPr>
          <w:b/>
        </w:rPr>
        <w:t>20 to 15</w:t>
      </w:r>
      <w:r w:rsidRPr="00B01002">
        <w:rPr>
          <w:b/>
        </w:rPr>
        <w:noBreakHyphen/>
      </w:r>
      <w:r w:rsidR="00793DB6" w:rsidRPr="00B01002">
        <w:rPr>
          <w:b/>
        </w:rPr>
        <w:t>36</w:t>
      </w:r>
      <w:r w:rsidRPr="00B01002">
        <w:rPr>
          <w:b/>
        </w:rPr>
        <w:noBreakHyphen/>
      </w:r>
      <w:r w:rsidR="00793DB6" w:rsidRPr="00B01002">
        <w:rPr>
          <w:b/>
        </w:rPr>
        <w:t>50.</w:t>
      </w:r>
      <w:r w:rsidR="00793DB6" w:rsidRPr="00B01002">
        <w:t xml:space="preserve"> Repealed by 2005 Act No. 27, </w:t>
      </w:r>
      <w:r w:rsidRPr="00B01002">
        <w:t xml:space="preserve">Section </w:t>
      </w:r>
      <w:r w:rsidR="00793DB6" w:rsidRPr="00B01002">
        <w:t>12, eff July 1, 2005.</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Editor's Note</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 xml:space="preserve">Former </w:t>
      </w:r>
      <w:r w:rsidR="00B01002" w:rsidRPr="00B01002">
        <w:t xml:space="preserve">Section </w:t>
      </w:r>
      <w:r w:rsidRPr="00B01002">
        <w:t>15</w:t>
      </w:r>
      <w:r w:rsidR="00B01002" w:rsidRPr="00B01002">
        <w:noBreakHyphen/>
      </w:r>
      <w:r w:rsidRPr="00B01002">
        <w:t>36</w:t>
      </w:r>
      <w:r w:rsidR="00B01002" w:rsidRPr="00B01002">
        <w:noBreakHyphen/>
      </w:r>
      <w:r w:rsidRPr="00B01002">
        <w:t xml:space="preserve">20 was entitled "Factors supporting finding of proper purpose for action" and was derived from 1988 Act No. 432, </w:t>
      </w:r>
      <w:r w:rsidR="00B01002" w:rsidRPr="00B01002">
        <w:t xml:space="preserve">Section </w:t>
      </w:r>
      <w:r w:rsidRPr="00B01002">
        <w:t>6.</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 xml:space="preserve">Former </w:t>
      </w:r>
      <w:r w:rsidR="00B01002" w:rsidRPr="00B01002">
        <w:t xml:space="preserve">Section </w:t>
      </w:r>
      <w:r w:rsidRPr="00B01002">
        <w:t>15</w:t>
      </w:r>
      <w:r w:rsidR="00B01002" w:rsidRPr="00B01002">
        <w:noBreakHyphen/>
      </w:r>
      <w:r w:rsidRPr="00B01002">
        <w:t>36</w:t>
      </w:r>
      <w:r w:rsidR="00B01002" w:rsidRPr="00B01002">
        <w:noBreakHyphen/>
      </w:r>
      <w:r w:rsidRPr="00B01002">
        <w:t xml:space="preserve">30 was entitled "Recovery of attorney's fees and court costs" and was derived from 1988 Act No. 432, </w:t>
      </w:r>
      <w:r w:rsidR="00B01002" w:rsidRPr="00B01002">
        <w:t xml:space="preserve">Section </w:t>
      </w:r>
      <w:r w:rsidRPr="00B01002">
        <w:t>6.</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 xml:space="preserve">Former </w:t>
      </w:r>
      <w:r w:rsidR="00B01002" w:rsidRPr="00B01002">
        <w:t xml:space="preserve">Section </w:t>
      </w:r>
      <w:r w:rsidRPr="00B01002">
        <w:t>15</w:t>
      </w:r>
      <w:r w:rsidR="00B01002" w:rsidRPr="00B01002">
        <w:noBreakHyphen/>
      </w:r>
      <w:r w:rsidRPr="00B01002">
        <w:t>36</w:t>
      </w:r>
      <w:r w:rsidR="00B01002" w:rsidRPr="00B01002">
        <w:noBreakHyphen/>
      </w:r>
      <w:r w:rsidRPr="00B01002">
        <w:t xml:space="preserve">40 was entitled "Burden of proof" and was derived from 1988 Act No. 432, </w:t>
      </w:r>
      <w:r w:rsidR="00B01002" w:rsidRPr="00B01002">
        <w:t xml:space="preserve">Section </w:t>
      </w:r>
      <w:r w:rsidRPr="00B01002">
        <w:t>6.</w:t>
      </w:r>
    </w:p>
    <w:p w:rsidR="00B01002" w:rsidRP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1002">
        <w:t xml:space="preserve">Former </w:t>
      </w:r>
      <w:r w:rsidR="00B01002" w:rsidRPr="00B01002">
        <w:t xml:space="preserve">Section </w:t>
      </w:r>
      <w:r w:rsidRPr="00B01002">
        <w:t>15</w:t>
      </w:r>
      <w:r w:rsidR="00B01002" w:rsidRPr="00B01002">
        <w:noBreakHyphen/>
      </w:r>
      <w:r w:rsidRPr="00B01002">
        <w:t>36</w:t>
      </w:r>
      <w:r w:rsidR="00B01002" w:rsidRPr="00B01002">
        <w:noBreakHyphen/>
      </w:r>
      <w:r w:rsidRPr="00B01002">
        <w:t xml:space="preserve">50 was entitled "Court to determine fees and costs" and was derived from 1988 Act No. 432, </w:t>
      </w:r>
      <w:r w:rsidR="00B01002" w:rsidRPr="00B01002">
        <w:t xml:space="preserve">Section </w:t>
      </w:r>
      <w:r w:rsidRPr="00B01002">
        <w:t>6.</w:t>
      </w:r>
    </w:p>
    <w:p w:rsidR="00B01002" w:rsidRPr="00B01002" w:rsidRDefault="00B01002"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1002" w:rsidRDefault="00B01002"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rPr>
          <w:b/>
        </w:rPr>
        <w:t xml:space="preserve">SECTION </w:t>
      </w:r>
      <w:r w:rsidR="00793DB6" w:rsidRPr="00B01002">
        <w:rPr>
          <w:b/>
        </w:rPr>
        <w:t>15</w:t>
      </w:r>
      <w:r w:rsidRPr="00B01002">
        <w:rPr>
          <w:b/>
        </w:rPr>
        <w:noBreakHyphen/>
      </w:r>
      <w:r w:rsidR="00793DB6" w:rsidRPr="00B01002">
        <w:rPr>
          <w:b/>
        </w:rPr>
        <w:t>36</w:t>
      </w:r>
      <w:r w:rsidRPr="00B01002">
        <w:rPr>
          <w:b/>
        </w:rPr>
        <w:noBreakHyphen/>
      </w:r>
      <w:r w:rsidR="00793DB6" w:rsidRPr="00B01002">
        <w:rPr>
          <w:b/>
        </w:rPr>
        <w:t>100.</w:t>
      </w:r>
      <w:r w:rsidR="00793DB6" w:rsidRPr="00B01002">
        <w:t xml:space="preserve"> Complaint in actions for damages alleging professional negligence; contemporaneous affidavit of expert specifying negligent act or omission.</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t>(A) As used in this section, "expert witness" means an expert who is qualified as to the acceptable conduct of the professional whose conduct is at issue and who:</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t>(1) is licensed by an appropriate regulatory agency to practice his or her profession in the location in which the expert practices or teaches; and</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t>(2)(a) is board certified by a national or international association or academy which administers written and oral examinations for certification in the area of practice or specialty about which the opinion on the standard of care is offered; or</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r>
      <w:r w:rsidRPr="00B01002">
        <w:tab/>
        <w:t>(b) has actual professional knowledge and experience in the area of practice or specialty in which the opinion is to be given as the result of having been regularly engaged in:</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r>
      <w:r w:rsidRPr="00B01002">
        <w:tab/>
      </w:r>
      <w:r w:rsidRPr="00B01002">
        <w:tab/>
        <w:t>(i) the active practice of the area of specialty of his or her profession for at least three of the last five years immediately preceding the opinion;</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r>
      <w:r w:rsidRPr="00B01002">
        <w:tab/>
      </w:r>
      <w:r w:rsidRPr="00B01002">
        <w:tab/>
        <w:t>(ii) the teaching of the area of practice or specialty of his or her profession for at least half of his or her professional time as an employed member of the faculty of an educational institution which is accredited in the teaching of his or her profession for at least three of the last five years immediately preceding the opinion; or</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r>
      <w:r w:rsidRPr="00B01002">
        <w:tab/>
      </w:r>
      <w:r w:rsidRPr="00B01002">
        <w:tab/>
        <w:t>(iii) any combination of the active practice or the teaching of his or her profession in a manner which meets the requirements of subitems (i) and (ii) for at least three of the last five years immediately preceding the opinion;</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t>(3) is an individual not covered by subsections (A)(1) or (2), that has scientific, technical, or other specialized knowledge which may assist the trier of fact in understanding the evidence and determining a fact or issue in the case, by reason of the individual's study, experience, or both. However, an affidavit filed pursuant to subsection (B) by an expert qualified under this subsection must contain an explanation of the expert's credentials and why the expert is qualified to conduct the review required by subsection (B). The defendant is entitled to challenge the sufficiency of the expert's credentials pursuant to subsection (E).</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t>(B) Except as provided in Section 15</w:t>
      </w:r>
      <w:r w:rsidR="00B01002" w:rsidRPr="00B01002">
        <w:noBreakHyphen/>
      </w:r>
      <w:r w:rsidRPr="00B01002">
        <w:t>79</w:t>
      </w:r>
      <w:r w:rsidR="00B01002" w:rsidRPr="00B01002">
        <w:noBreakHyphen/>
      </w:r>
      <w:r w:rsidRPr="00B01002">
        <w:t>125, in an action for damages alleging professional negligence against a professional licensed by or registered with the State of South Carolina and listed in subsection (G) or against any licensed health care facility alleged to be liable based upon the action or inaction of a health care professional licensed by the State of South Carolina and listed in subsection (G), the plaintiff must file as part of the complaint an affidavit of an expert witness which must specify at least one negligent act or omission claimed to exist and the factual basis for each claim based on the available evidence at the time of the filing of the affidavit.</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t>(C)(1) The contemporaneous filing requirement of subsection (B) does not apply to any case in which the period of limitation will expire, or there is a good faith basis to believe it will expire on a claim stated in the complaint, within ten days of the date of filing and, because of the time constraints, the plaintiff alleges that an affidavit of an expert could not be prepared. In such a case, the plaintiff has forty</w:t>
      </w:r>
      <w:r w:rsidR="00B01002" w:rsidRPr="00B01002">
        <w:noBreakHyphen/>
      </w:r>
      <w:r w:rsidRPr="00B01002">
        <w:t xml:space="preserve">five days after the filing of the complaint to supplement the pleadings with the affidavit. Upon motion, the trial court, after hearing and for good cause, may extend the time as the court determines justice requires. If an affidavit is not filed within the period specified in this subsection or as extended by the trial court and the defendant against whom an affidavit should have been filed alleges, by motion to dismiss filed contemporaneously with its initial responsive pleading that the plaintiff has failed to file the requisite </w:t>
      </w:r>
      <w:r w:rsidRPr="00B01002">
        <w:lastRenderedPageBreak/>
        <w:t>affidavit, the complaint is subject to dismissal for failure to state a claim. The filing of a motion to dismiss pursuant to this section, shall alter the period for filing an answer to the complaint in accordance with Rule 12(a), South Carolina Rules of Civil Procedure.</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t>(2) The contemporaneous filing requirement of subsection (B) is not required to support a pleaded specification of negligence involving subject matter that lies within the ambit of common knowledge and experience, so that no special learning is needed to evaluate the conduct of the defendant.</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t>(D) This section does not extend an applicable period of limitation, except that, if the affidavit is filed within the period specified in this section, the filing of the affidavit after the expiration of the statute of limitations is considered timely and provides no basis for a statute of limitations defense.</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t>(E) If a plaintiff files an affidavit which is allegedly defective, and the defendant to whom it pertains alleges, with specificity, by motion to dismiss filed contemporaneously with its initial responsive pleading, that the affidavit is defective, the plaintiff's complaint is subject to dismissal for failure to state a claim, except that the plaintiff may cure the alleged defect by amendment within thirty days of service of the motion alleging that the affidavit is defective. The trial court may, in the exercise of its discretion, extend the time for filing an amendment or response to the motion, or both, as the trial court determines justice requires. The filing of a motion to dismiss pursuant to this section shall alter the period for filing an answer to the complaint in accordance with Rule 12(a), South Carolina Rules of Civil Procedure.</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t>(F) If a plaintiff fails to file an affidavit as required by this section, and the defendant raises the failure to file an affidavit by motion to dismiss filed contemporaneously with its initial responsive pleading, the complaint is not subject to renewal after the expiration of the applicable period of limitation unless a court determines that the plaintiff had the requisite affidavit within the time required pursuant to this section and the failure to file the affidavit is the result of a mistake. The filing of a motion to dismiss pursuant to this section shall alter the period for filing an answer to the complaint in accordance with Rule 12(a), South Carolina Rules of Civil Procedure.</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t>(G) This section applies to the following professions:</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t>(1) architects;</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t>(2) attorneys at law;</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t>(3) certified public accountants;</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t>(4) chiropractors;</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t>(5) dentists;</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t>(6) land surveyors;</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t>(7) medical doctors;</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t>(8) marriage and family therapists;</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t>(9) nurses;</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t>(10) occupational therapists;</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t>(11) optometrists;</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t>(12) osteopathic physicians;</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t>(13) pharmacists;</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t>(14) physical therapists;</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t>(15) physicians' assistants;</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t>(16) professional counselors;</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t>(17) professional engineers;</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t>(18) podiatrists;</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t>(19) psychologists;</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t>(20) radiological technicians;</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t>(21) respiratory therapists; and</w:t>
      </w:r>
    </w:p>
    <w:p w:rsidR="00B01002" w:rsidRDefault="00793DB6"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02">
        <w:tab/>
      </w:r>
      <w:r w:rsidRPr="00B01002">
        <w:tab/>
        <w:t>(22) veterinarians.</w:t>
      </w:r>
    </w:p>
    <w:p w:rsidR="00B01002" w:rsidRDefault="00B01002"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1002" w:rsidRDefault="00B01002"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DB6" w:rsidRPr="00B01002">
        <w:t xml:space="preserve">: 2005 Act No. 32, </w:t>
      </w:r>
      <w:r w:rsidRPr="00B01002">
        <w:t xml:space="preserve">Section </w:t>
      </w:r>
      <w:r w:rsidR="00793DB6" w:rsidRPr="00B01002">
        <w:t>4, eff July 1, 2005, for causes of action arising after that date.</w:t>
      </w:r>
    </w:p>
    <w:p w:rsidR="007250AB" w:rsidRPr="00B01002" w:rsidRDefault="00B01002" w:rsidP="00B01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01002" w:rsidSect="00B0100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002" w:rsidRDefault="00B01002" w:rsidP="00B01002">
      <w:r>
        <w:separator/>
      </w:r>
    </w:p>
  </w:endnote>
  <w:endnote w:type="continuationSeparator" w:id="0">
    <w:p w:rsidR="00B01002" w:rsidRDefault="00B01002" w:rsidP="00B0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002" w:rsidRPr="00B01002" w:rsidRDefault="00B01002" w:rsidP="00B010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002" w:rsidRPr="00B01002" w:rsidRDefault="00B01002" w:rsidP="00B010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002" w:rsidRPr="00B01002" w:rsidRDefault="00B01002" w:rsidP="00B01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002" w:rsidRDefault="00B01002" w:rsidP="00B01002">
      <w:r>
        <w:separator/>
      </w:r>
    </w:p>
  </w:footnote>
  <w:footnote w:type="continuationSeparator" w:id="0">
    <w:p w:rsidR="00B01002" w:rsidRDefault="00B01002" w:rsidP="00B01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002" w:rsidRPr="00B01002" w:rsidRDefault="00B01002" w:rsidP="00B010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002" w:rsidRPr="00B01002" w:rsidRDefault="00B01002" w:rsidP="00B010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002" w:rsidRPr="00B01002" w:rsidRDefault="00B01002" w:rsidP="00B010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DB6"/>
    <w:rsid w:val="00376645"/>
    <w:rsid w:val="00401979"/>
    <w:rsid w:val="004F020F"/>
    <w:rsid w:val="00604E7C"/>
    <w:rsid w:val="006803EC"/>
    <w:rsid w:val="006C1A75"/>
    <w:rsid w:val="00793DB6"/>
    <w:rsid w:val="00B01002"/>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E2703E-7828-427A-AC3E-F1901A20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93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93DB6"/>
    <w:rPr>
      <w:rFonts w:ascii="Courier New" w:eastAsiaTheme="minorEastAsia" w:hAnsi="Courier New" w:cs="Courier New"/>
      <w:sz w:val="20"/>
      <w:szCs w:val="20"/>
    </w:rPr>
  </w:style>
  <w:style w:type="paragraph" w:styleId="Header">
    <w:name w:val="header"/>
    <w:basedOn w:val="Normal"/>
    <w:link w:val="HeaderChar"/>
    <w:uiPriority w:val="99"/>
    <w:unhideWhenUsed/>
    <w:rsid w:val="00B01002"/>
    <w:pPr>
      <w:tabs>
        <w:tab w:val="center" w:pos="4680"/>
        <w:tab w:val="right" w:pos="9360"/>
      </w:tabs>
    </w:pPr>
  </w:style>
  <w:style w:type="character" w:customStyle="1" w:styleId="HeaderChar">
    <w:name w:val="Header Char"/>
    <w:basedOn w:val="DefaultParagraphFont"/>
    <w:link w:val="Header"/>
    <w:uiPriority w:val="99"/>
    <w:rsid w:val="00B01002"/>
    <w:rPr>
      <w:rFonts w:cs="Times New Roman"/>
    </w:rPr>
  </w:style>
  <w:style w:type="paragraph" w:styleId="Footer">
    <w:name w:val="footer"/>
    <w:basedOn w:val="Normal"/>
    <w:link w:val="FooterChar"/>
    <w:uiPriority w:val="99"/>
    <w:unhideWhenUsed/>
    <w:rsid w:val="00B01002"/>
    <w:pPr>
      <w:tabs>
        <w:tab w:val="center" w:pos="4680"/>
        <w:tab w:val="right" w:pos="9360"/>
      </w:tabs>
    </w:pPr>
  </w:style>
  <w:style w:type="character" w:customStyle="1" w:styleId="FooterChar">
    <w:name w:val="Footer Char"/>
    <w:basedOn w:val="DefaultParagraphFont"/>
    <w:link w:val="Footer"/>
    <w:uiPriority w:val="99"/>
    <w:rsid w:val="00B0100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2502</Words>
  <Characters>14266</Characters>
  <Application>Microsoft Office Word</Application>
  <DocSecurity>0</DocSecurity>
  <Lines>118</Lines>
  <Paragraphs>33</Paragraphs>
  <ScaleCrop>false</ScaleCrop>
  <Company>Legislative Services Agency</Company>
  <LinksUpToDate>false</LinksUpToDate>
  <CharactersWithSpaces>16735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2022-09-23T15:50:00Z</dcterms:created>
  <dcterms:modified xsi:type="dcterms:W3CDTF">2022-09-23T15:50:00Z</dcterms:modified>
</cp:coreProperties>
</file>