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02B4">
        <w:t>CHAPTER 89</w:t>
      </w:r>
    </w:p>
    <w:p w:rsidR="006602B4" w:rsidRP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02B4">
        <w:t>Day Care Joint Underwriting Association</w:t>
      </w:r>
      <w:bookmarkStart w:id="0" w:name="_GoBack"/>
      <w:bookmarkEnd w:id="0"/>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10.</w:t>
      </w:r>
      <w:r w:rsidR="00C6321A" w:rsidRPr="006602B4">
        <w:t xml:space="preserve"> Definitions.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As used in this chapter:</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(1) "Association" means a joint underwriting association established pursuant to this subdivision.</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(2) "Day care liability insurance" means insurance protection against the day care liability of the insured and against loss, damage, or expense incident to a claim arising out of day care service to a person as the result of negligence in rendering or failing to render day care service.</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15;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20.</w:t>
      </w:r>
      <w:r w:rsidR="00C6321A" w:rsidRPr="006602B4">
        <w:t xml:space="preserve"> Joint underwriting association created; purpose; when activated.</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(B) The purpose of the association is to provide day care liability insurance on a self</w:t>
      </w:r>
      <w:r w:rsidR="006602B4" w:rsidRPr="006602B4">
        <w:noBreakHyphen/>
      </w:r>
      <w:r w:rsidRPr="006602B4">
        <w:t>supporting basis to the fullest extent possible.</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16;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30.</w:t>
      </w:r>
      <w:r w:rsidR="00C6321A" w:rsidRPr="006602B4">
        <w:t xml:space="preserve"> General powers.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The association has the power on behalf of its members to:</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(2) underwrite day care liability insurance and to adjust and pay losses with respect thereto or to appoint service companies to perform those functions;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(3) cede and assume reinsurance.</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17;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40.</w:t>
      </w:r>
      <w:r w:rsidR="00C6321A" w:rsidRPr="006602B4">
        <w:t xml:space="preserve"> Plan of operation.</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w:t>
      </w:r>
      <w:r w:rsidRPr="006602B4">
        <w:lastRenderedPageBreak/>
        <w:t>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(C) The plan of operation shall provide that any profit achieved by the association must be added to the reserves of the association or returned to the policyholders as a dividend.</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(D) Amendments to the plan of operation may be made by the directors of the association with the approval of the director or his designee or must be made at the direction of the director or his designee after proper notice and public hearing.</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18;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50.</w:t>
      </w:r>
      <w:r w:rsidR="00C6321A" w:rsidRPr="006602B4">
        <w:t xml:space="preserve"> Application for coverage; issuance of policy.</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19;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60.</w:t>
      </w:r>
      <w:r w:rsidR="00C6321A" w:rsidRPr="006602B4">
        <w:t xml:space="preserve"> Duty of director to gather statistical data.</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20;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70.</w:t>
      </w:r>
      <w:r w:rsidR="00C6321A" w:rsidRPr="006602B4">
        <w:t xml:space="preserve"> Consideration of investment income in structuring rates and determining profit or loss.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In structuring rates for day care liability insurance and determining the profit or loss of the association in respect to the insurance, consideration must be given by the director or his designee to all investment income.</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21;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80.</w:t>
      </w:r>
      <w:r w:rsidR="00C6321A" w:rsidRPr="006602B4">
        <w:t xml:space="preserve"> Filing of policy forms, classifications, rates, rating plans, and rating rules.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22;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90.</w:t>
      </w:r>
      <w:r w:rsidR="00C6321A" w:rsidRPr="006602B4">
        <w:t xml:space="preserve"> Policy forms; rate structure.</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(A) The director or his designee shall specify whether policy forms and the rate structure must be on a "claims</w:t>
      </w:r>
      <w:r w:rsidR="006602B4" w:rsidRPr="006602B4">
        <w:noBreakHyphen/>
      </w:r>
      <w:r w:rsidRPr="006602B4">
        <w:t>made" or 'occurrence' basis, and coverage may be provided by the association only on the basis specified by the director or his designee. The director or his designee shall specify the claims</w:t>
      </w:r>
      <w:r w:rsidR="006602B4" w:rsidRPr="006602B4">
        <w:noBreakHyphen/>
      </w:r>
      <w:r w:rsidRPr="006602B4">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(B) The policy may not contain a limitation in relation to the existing law in tort as provided by the statute of limitations of this State.</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(C) The policy form, whether on a claims</w:t>
      </w:r>
      <w:r w:rsidR="006602B4" w:rsidRPr="006602B4">
        <w:noBreakHyphen/>
      </w:r>
      <w:r w:rsidRPr="006602B4">
        <w:t xml:space="preserve">made or occurrence basis, may not require as a condition precedent to settlement or compromise of a claim the consent or acquiescence of the insured. </w:t>
      </w:r>
      <w:r w:rsidRPr="006602B4">
        <w:lastRenderedPageBreak/>
        <w:t>However, the settlement or compromise is not considered an admission of fault or wrongdoing by the insured.</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(D) The premium rate charged for either or both claims</w:t>
      </w:r>
      <w:r w:rsidR="006602B4" w:rsidRPr="006602B4">
        <w:noBreakHyphen/>
      </w:r>
      <w:r w:rsidRPr="006602B4">
        <w:t>made or occurrence coverage must be at rates established on an actuarially sound basis, including consideration of trends in the frequency and severity of losses and must be calculated to be self</w:t>
      </w:r>
      <w:r w:rsidR="006602B4" w:rsidRPr="006602B4">
        <w:noBreakHyphen/>
      </w:r>
      <w:r w:rsidRPr="006602B4">
        <w:t>supporting.</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23;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100.</w:t>
      </w:r>
      <w:r w:rsidR="00C6321A" w:rsidRPr="006602B4">
        <w:t xml:space="preserve"> Rate increase subject to director's approval.</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The association may provide a rate increase or assessment subject to the approval director or his designee.</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24;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110.</w:t>
      </w:r>
      <w:r w:rsidR="00C6321A" w:rsidRPr="006602B4">
        <w:t xml:space="preserve"> Deficit to be recouped.</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A deficit sustained by the association in a year must be recouped, pursuant to the plan of operation and the rating plan then in effect, by one or both of the following procedures: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(1) an assessment upon the policyholders, which may not exceed one additional annual premium at the then current rate;</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(2) a rate increase applicable prospectively.</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25;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120.</w:t>
      </w:r>
      <w:r w:rsidR="00C6321A" w:rsidRPr="006602B4">
        <w:t xml:space="preserve"> Basis for rates; insufficient funds for operation.</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6602B4" w:rsidRPr="006602B4">
        <w:noBreakHyphen/>
      </w:r>
      <w:r w:rsidRPr="006602B4">
        <w:t xml:space="preserve">supporting. If sufficient funds are not available for the sound financial operation of the association, pending recoupment </w:t>
      </w:r>
      <w:r w:rsidRPr="006602B4">
        <w:lastRenderedPageBreak/>
        <w:t>as provided in Section 38</w:t>
      </w:r>
      <w:r w:rsidR="006602B4" w:rsidRPr="006602B4">
        <w:noBreakHyphen/>
      </w:r>
      <w:r w:rsidRPr="006602B4">
        <w:t>89</w:t>
      </w:r>
      <w:r w:rsidR="006602B4" w:rsidRPr="006602B4">
        <w:noBreakHyphen/>
      </w:r>
      <w:r w:rsidRPr="006602B4">
        <w:t>110, all members, on a temporary basis, shall contribute to the financial requirements of the association in the manner provided in Section 38</w:t>
      </w:r>
      <w:r w:rsidR="006602B4" w:rsidRPr="006602B4">
        <w:noBreakHyphen/>
      </w:r>
      <w:r w:rsidRPr="006602B4">
        <w:t>89</w:t>
      </w:r>
      <w:r w:rsidR="006602B4" w:rsidRPr="006602B4">
        <w:noBreakHyphen/>
      </w:r>
      <w:r w:rsidRPr="006602B4">
        <w:t>130. A contribution must be reimbursed to the members following recoupment as provided in Section 38</w:t>
      </w:r>
      <w:r w:rsidR="006602B4" w:rsidRPr="006602B4">
        <w:noBreakHyphen/>
      </w:r>
      <w:r w:rsidRPr="006602B4">
        <w:t>89</w:t>
      </w:r>
      <w:r w:rsidR="006602B4" w:rsidRPr="006602B4">
        <w:noBreakHyphen/>
      </w:r>
      <w:r w:rsidRPr="006602B4">
        <w:t>110.</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26;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130.</w:t>
      </w:r>
      <w:r w:rsidR="00C6321A" w:rsidRPr="006602B4">
        <w:t xml:space="preserve"> Participation of association members.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27;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140.</w:t>
      </w:r>
      <w:r w:rsidR="00C6321A" w:rsidRPr="006602B4">
        <w:t xml:space="preserve"> Plan of operation and rules binding on association members.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Every member of the association is bound by the approved plan of operation of the association and the rules of the board of directors of the association.</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28;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150.</w:t>
      </w:r>
      <w:r w:rsidR="00C6321A" w:rsidRPr="006602B4">
        <w:t xml:space="preserve"> Effect of termination of association member's authority; merger; insolvency.</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29;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160.</w:t>
      </w:r>
      <w:r w:rsidR="00C6321A" w:rsidRPr="006602B4">
        <w:t xml:space="preserve"> Board of directors.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30; 1993 Act No. 181, </w:t>
      </w:r>
      <w:r w:rsidRPr="006602B4">
        <w:t xml:space="preserve">Section </w:t>
      </w:r>
      <w:r w:rsidR="00C6321A" w:rsidRPr="006602B4">
        <w:t xml:space="preserve">845; 1998 Act No. 411, </w:t>
      </w:r>
      <w:r w:rsidRPr="006602B4">
        <w:t xml:space="preserve">Section </w:t>
      </w:r>
      <w:r w:rsidR="00C6321A" w:rsidRPr="006602B4">
        <w:t>9.</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170.</w:t>
      </w:r>
      <w:r w:rsidR="00C6321A" w:rsidRPr="006602B4">
        <w:t xml:space="preserve"> Appeal to commission.</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31;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180.</w:t>
      </w:r>
      <w:r w:rsidR="00C6321A" w:rsidRPr="006602B4">
        <w:t xml:space="preserve"> Statement to be filed by association.</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21A" w:rsidRPr="006602B4">
        <w:t xml:space="preserve">: 1989 Act No. 189, Part II, </w:t>
      </w:r>
      <w:r w:rsidRPr="006602B4">
        <w:t xml:space="preserve">Section </w:t>
      </w:r>
      <w:r w:rsidR="00C6321A" w:rsidRPr="006602B4">
        <w:t xml:space="preserve">43 sub 32; 1993 Act No. 181, </w:t>
      </w:r>
      <w:r w:rsidRPr="006602B4">
        <w:t xml:space="preserve">Section </w:t>
      </w:r>
      <w:r w:rsidR="00C6321A" w:rsidRPr="006602B4">
        <w:t>845.</w:t>
      </w:r>
    </w:p>
    <w:p w:rsidR="006602B4"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rPr>
          <w:b/>
        </w:rPr>
        <w:t xml:space="preserve">SECTION </w:t>
      </w:r>
      <w:r w:rsidR="00C6321A" w:rsidRPr="006602B4">
        <w:rPr>
          <w:b/>
        </w:rPr>
        <w:t>38</w:t>
      </w:r>
      <w:r w:rsidRPr="006602B4">
        <w:rPr>
          <w:b/>
        </w:rPr>
        <w:noBreakHyphen/>
      </w:r>
      <w:r w:rsidR="00C6321A" w:rsidRPr="006602B4">
        <w:rPr>
          <w:b/>
        </w:rPr>
        <w:t>89</w:t>
      </w:r>
      <w:r w:rsidRPr="006602B4">
        <w:rPr>
          <w:b/>
        </w:rPr>
        <w:noBreakHyphen/>
      </w:r>
      <w:r w:rsidR="00C6321A" w:rsidRPr="006602B4">
        <w:rPr>
          <w:b/>
        </w:rPr>
        <w:t>190.</w:t>
      </w:r>
      <w:r w:rsidR="00C6321A" w:rsidRPr="006602B4">
        <w:t xml:space="preserve"> Examination of financial condition; annual report.</w:t>
      </w:r>
    </w:p>
    <w:p w:rsidR="006602B4" w:rsidRDefault="00C6321A"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2B4">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321A" w:rsidRPr="006602B4">
        <w:t xml:space="preserve">: 1989 Act No. 189, Part II, </w:t>
      </w:r>
      <w:r w:rsidRPr="006602B4">
        <w:t xml:space="preserve">Section </w:t>
      </w:r>
      <w:r w:rsidR="00C6321A" w:rsidRPr="006602B4">
        <w:t xml:space="preserve">43 sub 33; 1993 Act No. 181, </w:t>
      </w:r>
      <w:r w:rsidRPr="006602B4">
        <w:t xml:space="preserve">Section </w:t>
      </w:r>
      <w:r w:rsidR="00C6321A" w:rsidRPr="006602B4">
        <w:t>845.</w:t>
      </w:r>
    </w:p>
    <w:p w:rsidR="007250AB" w:rsidRPr="006602B4" w:rsidRDefault="006602B4" w:rsidP="006602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602B4" w:rsidSect="006602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2B4" w:rsidRDefault="006602B4" w:rsidP="006602B4">
      <w:r>
        <w:separator/>
      </w:r>
    </w:p>
  </w:endnote>
  <w:endnote w:type="continuationSeparator" w:id="0">
    <w:p w:rsidR="006602B4" w:rsidRDefault="006602B4" w:rsidP="0066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B4" w:rsidRPr="006602B4" w:rsidRDefault="006602B4" w:rsidP="00660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B4" w:rsidRPr="006602B4" w:rsidRDefault="006602B4" w:rsidP="00660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B4" w:rsidRPr="006602B4" w:rsidRDefault="006602B4" w:rsidP="0066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2B4" w:rsidRDefault="006602B4" w:rsidP="006602B4">
      <w:r>
        <w:separator/>
      </w:r>
    </w:p>
  </w:footnote>
  <w:footnote w:type="continuationSeparator" w:id="0">
    <w:p w:rsidR="006602B4" w:rsidRDefault="006602B4" w:rsidP="0066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B4" w:rsidRPr="006602B4" w:rsidRDefault="006602B4" w:rsidP="00660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B4" w:rsidRPr="006602B4" w:rsidRDefault="006602B4" w:rsidP="00660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B4" w:rsidRPr="006602B4" w:rsidRDefault="006602B4" w:rsidP="00660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1A"/>
    <w:rsid w:val="00376645"/>
    <w:rsid w:val="00401979"/>
    <w:rsid w:val="004F020F"/>
    <w:rsid w:val="00604E7C"/>
    <w:rsid w:val="006602B4"/>
    <w:rsid w:val="006803EC"/>
    <w:rsid w:val="006C1A75"/>
    <w:rsid w:val="00B22B47"/>
    <w:rsid w:val="00B603E3"/>
    <w:rsid w:val="00C6321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2B7CA-B1EB-42E3-9C8C-D404F520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321A"/>
    <w:rPr>
      <w:rFonts w:ascii="Courier New" w:eastAsiaTheme="minorEastAsia" w:hAnsi="Courier New" w:cs="Courier New"/>
      <w:sz w:val="20"/>
      <w:szCs w:val="20"/>
    </w:rPr>
  </w:style>
  <w:style w:type="paragraph" w:styleId="Header">
    <w:name w:val="header"/>
    <w:basedOn w:val="Normal"/>
    <w:link w:val="HeaderChar"/>
    <w:uiPriority w:val="99"/>
    <w:unhideWhenUsed/>
    <w:rsid w:val="006602B4"/>
    <w:pPr>
      <w:tabs>
        <w:tab w:val="center" w:pos="4680"/>
        <w:tab w:val="right" w:pos="9360"/>
      </w:tabs>
    </w:pPr>
  </w:style>
  <w:style w:type="character" w:customStyle="1" w:styleId="HeaderChar">
    <w:name w:val="Header Char"/>
    <w:basedOn w:val="DefaultParagraphFont"/>
    <w:link w:val="Header"/>
    <w:uiPriority w:val="99"/>
    <w:rsid w:val="006602B4"/>
    <w:rPr>
      <w:rFonts w:cs="Times New Roman"/>
    </w:rPr>
  </w:style>
  <w:style w:type="paragraph" w:styleId="Footer">
    <w:name w:val="footer"/>
    <w:basedOn w:val="Normal"/>
    <w:link w:val="FooterChar"/>
    <w:uiPriority w:val="99"/>
    <w:unhideWhenUsed/>
    <w:rsid w:val="006602B4"/>
    <w:pPr>
      <w:tabs>
        <w:tab w:val="center" w:pos="4680"/>
        <w:tab w:val="right" w:pos="9360"/>
      </w:tabs>
    </w:pPr>
  </w:style>
  <w:style w:type="character" w:customStyle="1" w:styleId="FooterChar">
    <w:name w:val="Footer Char"/>
    <w:basedOn w:val="DefaultParagraphFont"/>
    <w:link w:val="Footer"/>
    <w:uiPriority w:val="99"/>
    <w:rsid w:val="006602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2664</Words>
  <Characters>15189</Characters>
  <Application>Microsoft Office Word</Application>
  <DocSecurity>0</DocSecurity>
  <Lines>126</Lines>
  <Paragraphs>35</Paragraphs>
  <ScaleCrop>false</ScaleCrop>
  <Company>Legislative Services Agency</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2022-09-23T17:07:00Z</dcterms:created>
  <dcterms:modified xsi:type="dcterms:W3CDTF">2022-09-23T17:07:00Z</dcterms:modified>
</cp:coreProperties>
</file>