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F19AE">
        <w:t>CHAPTER 1</w:t>
      </w:r>
    </w:p>
    <w:p w:rsidR="00EF19AE" w:rsidRP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F19AE">
        <w:t>General Provisions</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10.</w:t>
      </w:r>
      <w:r w:rsidR="004F2637" w:rsidRPr="00EF19AE">
        <w:t xml:space="preserve"> Official receipts for monies collected.</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It is unlawful for an officer of this State or his agent, employee, or servant to collect from a person any delinquent taxes, fine, or other money due the county or State without issuing to that person an official receipt showing the number, date, name of person, amount collected, and for what purpose. The officer, agent, employee, or servant shall keep a stub similar to the receipt and he shall turn it over at the end of each month to the county treasurer of the county in which the collections are made. The county treasurer shall check the amounts turned in to him against the stubs and issue a clearance card to the officer or his agent, employee, or servant showing all monies turned in according to the stubs. Any officer, agent, employee, or servant violating the provisions of this section is guilty of a misdemeanor and, upon conviction, must be fined not more than one hundred dollars or imprisoned not more than thirty days for each offense. An officer or employee of the Department of Revenue may turn in only those documents and reports as required by rules adopted and regulations promulgated by the director of the department.</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51.1; 1952 Code </w:t>
      </w:r>
      <w:r w:rsidRPr="00EF19AE">
        <w:t xml:space="preserve">Section </w:t>
      </w:r>
      <w:r w:rsidR="004F2637" w:rsidRPr="00EF19AE">
        <w:t>1</w:t>
      </w:r>
      <w:r w:rsidRPr="00EF19AE">
        <w:noBreakHyphen/>
      </w:r>
      <w:r w:rsidR="004F2637" w:rsidRPr="00EF19AE">
        <w:t xml:space="preserve">51.1; 1942 Code </w:t>
      </w:r>
      <w:r w:rsidRPr="00EF19AE">
        <w:t xml:space="preserve">Section </w:t>
      </w:r>
      <w:r w:rsidR="004F2637" w:rsidRPr="00EF19AE">
        <w:t xml:space="preserve">2836; 1932 Code </w:t>
      </w:r>
      <w:r w:rsidRPr="00EF19AE">
        <w:t xml:space="preserve">Section </w:t>
      </w:r>
      <w:r w:rsidR="004F2637" w:rsidRPr="00EF19AE">
        <w:t xml:space="preserve">2865; 1924 (33) 927; 1999 Act No. 114, </w:t>
      </w:r>
      <w:r w:rsidRPr="00EF19AE">
        <w:t xml:space="preserve">Section </w:t>
      </w:r>
      <w:r w:rsidR="004F2637" w:rsidRPr="00EF19AE">
        <w:t>4.</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20.</w:t>
      </w:r>
      <w:r w:rsidR="004F2637" w:rsidRPr="00EF19AE">
        <w:t xml:space="preserve"> Interest on deposits of public funds.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All state, county, and municipal officers depositing funds that accrue interest in a bank or other depository shall account to the respective governing body for all interest collected upon these deposits.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A person who violates the provisions of this section is guilty of a misdemeanor and, upon conviction, must be fined in the discretion of the court or imprisoned not more than three years.</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52; 1952 Code </w:t>
      </w:r>
      <w:r w:rsidRPr="00EF19AE">
        <w:t xml:space="preserve">Section </w:t>
      </w:r>
      <w:r w:rsidR="004F2637" w:rsidRPr="00EF19AE">
        <w:t>1</w:t>
      </w:r>
      <w:r w:rsidRPr="00EF19AE">
        <w:noBreakHyphen/>
      </w:r>
      <w:r w:rsidR="004F2637" w:rsidRPr="00EF19AE">
        <w:t xml:space="preserve">52; 1942 Code </w:t>
      </w:r>
      <w:r w:rsidRPr="00EF19AE">
        <w:t xml:space="preserve">Section </w:t>
      </w:r>
      <w:r w:rsidR="004F2637" w:rsidRPr="00EF19AE">
        <w:t xml:space="preserve">1577; 1932 Code </w:t>
      </w:r>
      <w:r w:rsidRPr="00EF19AE">
        <w:t xml:space="preserve">Section </w:t>
      </w:r>
      <w:r w:rsidR="004F2637" w:rsidRPr="00EF19AE">
        <w:t xml:space="preserve">1577; Cr. C. '22 </w:t>
      </w:r>
      <w:r w:rsidRPr="00EF19AE">
        <w:t xml:space="preserve">Section </w:t>
      </w:r>
      <w:r w:rsidR="004F2637" w:rsidRPr="00EF19AE">
        <w:t xml:space="preserve">530; 1915 (29) 56; 1993 Act No. 184, </w:t>
      </w:r>
      <w:r w:rsidRPr="00EF19AE">
        <w:t xml:space="preserve">Section </w:t>
      </w:r>
      <w:r w:rsidR="004F2637" w:rsidRPr="00EF19AE">
        <w:t>151.</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25.</w:t>
      </w:r>
      <w:r w:rsidR="004F2637" w:rsidRPr="00EF19AE">
        <w:t xml:space="preserve"> Report by State Treasurer on investment earnings.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The State Treasurer shall submit a monthly management report on the investment earnings of the general fund of the State to the Ways and Means Committee of the House of Representatives and to the Senate Finance Committee. For the periods ending December 31 and June 30, the State Treasurer shall submit a detailed report on all earnings on investments to these committees.</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1987 Act No. 170, Part II, </w:t>
      </w:r>
      <w:r w:rsidRPr="00EF19AE">
        <w:t xml:space="preserve">Section </w:t>
      </w:r>
      <w:r w:rsidR="004F2637" w:rsidRPr="00EF19AE">
        <w:t xml:space="preserve">52; 1988 Act No. 658, Part II, </w:t>
      </w:r>
      <w:r w:rsidRPr="00EF19AE">
        <w:t xml:space="preserve">Section </w:t>
      </w:r>
      <w:r w:rsidR="004F2637" w:rsidRPr="00EF19AE">
        <w:t>2.</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30.</w:t>
      </w:r>
      <w:r w:rsidR="004F2637" w:rsidRPr="00EF19AE">
        <w:t xml:space="preserve"> Issuance of negotiable notes in anticipation of taxes.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Wherever under the general law or a special act authority is given to borrow money in anticipation of the collection of taxes levied or to be levied in any municipality, county, school district or other political subdivision of the State for the payment of which the taxes so levied or to be levied are pledged, a negotiable promissory note or notes may evidence such indebtedness.</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53; 1952 Code </w:t>
      </w:r>
      <w:r w:rsidRPr="00EF19AE">
        <w:t xml:space="preserve">Section </w:t>
      </w:r>
      <w:r w:rsidR="004F2637" w:rsidRPr="00EF19AE">
        <w:t>1</w:t>
      </w:r>
      <w:r w:rsidRPr="00EF19AE">
        <w:noBreakHyphen/>
      </w:r>
      <w:r w:rsidR="004F2637" w:rsidRPr="00EF19AE">
        <w:t xml:space="preserve">53; 1942 Code </w:t>
      </w:r>
      <w:r w:rsidRPr="00EF19AE">
        <w:t xml:space="preserve">Section </w:t>
      </w:r>
      <w:r w:rsidR="004F2637" w:rsidRPr="00EF19AE">
        <w:t xml:space="preserve">2837; 1932 Code </w:t>
      </w:r>
      <w:r w:rsidRPr="00EF19AE">
        <w:t xml:space="preserve">Section </w:t>
      </w:r>
      <w:r w:rsidR="004F2637" w:rsidRPr="00EF19AE">
        <w:t>2884; 1931 (37) 131.</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40.</w:t>
      </w:r>
      <w:r w:rsidR="004F2637" w:rsidRPr="00EF19AE">
        <w:t xml:space="preserve"> Contracts in excess of tax or appropriation; diverting public funds.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(A) It is unlawful for an authorized public officer to enter into a contract for a purpose in which the sum is in excess of the tax levied or the amount appropriated for that purpose.</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(B) It is unlawful for an authorized public officer to divert or appropriate the funds arising from any tax levied and collected for any one fiscal year to the payment of an indebtedness contracted or incurred for a previous year.</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lastRenderedPageBreak/>
        <w:tab/>
        <w:t>(C) A person who violates the provisions of this section is guilty of a misdemeanor and, upon conviction, must be fined not more than five thousand dollars and not less than five hundred dollars or imprisoned not more than three years, or both.</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54; 1952 Code </w:t>
      </w:r>
      <w:r w:rsidRPr="00EF19AE">
        <w:t xml:space="preserve">Section </w:t>
      </w:r>
      <w:r w:rsidR="004F2637" w:rsidRPr="00EF19AE">
        <w:t>1</w:t>
      </w:r>
      <w:r w:rsidRPr="00EF19AE">
        <w:noBreakHyphen/>
      </w:r>
      <w:r w:rsidR="004F2637" w:rsidRPr="00EF19AE">
        <w:t xml:space="preserve">54; 1942 Code </w:t>
      </w:r>
      <w:r w:rsidRPr="00EF19AE">
        <w:t xml:space="preserve">Sections </w:t>
      </w:r>
      <w:r w:rsidR="004F2637" w:rsidRPr="00EF19AE">
        <w:t xml:space="preserve"> 1508, 3073, 3074; 1932 Code </w:t>
      </w:r>
      <w:r w:rsidRPr="00EF19AE">
        <w:t xml:space="preserve">Section </w:t>
      </w:r>
      <w:r w:rsidR="004F2637" w:rsidRPr="00EF19AE">
        <w:t xml:space="preserve">1508; Cr. C. '22 </w:t>
      </w:r>
      <w:r w:rsidRPr="00EF19AE">
        <w:t xml:space="preserve">Section </w:t>
      </w:r>
      <w:r w:rsidR="004F2637" w:rsidRPr="00EF19AE">
        <w:t xml:space="preserve">457; Cr. C. '12 </w:t>
      </w:r>
      <w:r w:rsidRPr="00EF19AE">
        <w:t xml:space="preserve">Section </w:t>
      </w:r>
      <w:r w:rsidR="004F2637" w:rsidRPr="00EF19AE">
        <w:t xml:space="preserve">532; Cr. C. '02 </w:t>
      </w:r>
      <w:r w:rsidRPr="00EF19AE">
        <w:t xml:space="preserve">Section </w:t>
      </w:r>
      <w:r w:rsidR="004F2637" w:rsidRPr="00EF19AE">
        <w:t xml:space="preserve">377; G. S. 458, 459, 460; R. S. 299; 1874 (15) 692; 1906 (25) 206; 1960 (51) 1602; 1993 Act No. 184, </w:t>
      </w:r>
      <w:r w:rsidRPr="00EF19AE">
        <w:t xml:space="preserve">Section </w:t>
      </w:r>
      <w:r w:rsidR="004F2637" w:rsidRPr="00EF19AE">
        <w:t>152.</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45.</w:t>
      </w:r>
      <w:r w:rsidR="004F2637" w:rsidRPr="00EF19AE">
        <w:t xml:space="preserve"> Settlement of certain litigation, dispute, or claim by state agencies; approval of Fiscal Accountability Authority required; exemptions.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(A) No state agency or instrumentality of the State, excluding the General Assembly, Senate, House of Representatives, local political subdivisions, special purpose districts, and special taxing districts, shall enter into a settlement of any litigation, dispute, or claim over one hundred thousand dollars requiring the expenditure of monies appropriated or provided for in a general or supplemental appropriations act, or from any other source of public funds without prior written approval from the State Fiscal Accountability Authority.</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(B) The intent of this provision is to prevent state agencies or instrumentalities of the State, other than local political subdivisions, special purpose districts, and special taxing districts, from entering into settlements that can bind and commit the State to unreasonable funding requirements from current or future revenues of the State. In keeping with this intent, the State Fiscal Accountability Authority may exempt in its discretion any entity or specific litigation matter from this provision.</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2637" w:rsidRPr="00EF19AE">
        <w:t xml:space="preserve">: 1994 Act No. 497, Part II, </w:t>
      </w:r>
      <w:r w:rsidRPr="00EF19AE">
        <w:t xml:space="preserve">Section </w:t>
      </w:r>
      <w:r w:rsidR="004F2637" w:rsidRPr="00EF19AE">
        <w:t>24.</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Code Commissioner's Note</w:t>
      </w:r>
    </w:p>
    <w:p w:rsidR="00EF19AE" w:rsidRP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F19A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F19AE" w:rsidRPr="00EF19AE">
        <w:t xml:space="preserve">Section </w:t>
      </w:r>
      <w:r w:rsidRPr="00EF19AE">
        <w:t>5(D)(1), effective July 1, 2015.</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50.</w:t>
      </w:r>
      <w:r w:rsidR="004F2637" w:rsidRPr="00EF19AE">
        <w:t xml:space="preserve"> Protection of deposits of public funds and trust funds by Federal deposit insurance; other security.</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 xml:space="preserve">Such portion of the public monies as may be on deposit in any bank and protected by Federal deposit insurance shall be exempt from the requirement that security be furnished for it by such bank and security shall be required only for such portion of such deposits as shall exceed the amount covered by such insurance. All public officers who have deposited public funds in banks for which security or collateral is required shall obtain it only for the amount by which the particular deposit exceeds the sum protected by Federal deposit insurance. Such portions of trust funds as may be on deposit in any bank and </w:t>
      </w:r>
      <w:r w:rsidRPr="00EF19AE">
        <w:lastRenderedPageBreak/>
        <w:t>for which security is now required shall be secured only for the amount by which the same exceeds the amount protected by Federal deposit insurance.</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62; 1952 Code </w:t>
      </w:r>
      <w:r w:rsidRPr="00EF19AE">
        <w:t xml:space="preserve">Section </w:t>
      </w:r>
      <w:r w:rsidR="004F2637" w:rsidRPr="00EF19AE">
        <w:t>1</w:t>
      </w:r>
      <w:r w:rsidRPr="00EF19AE">
        <w:noBreakHyphen/>
      </w:r>
      <w:r w:rsidR="004F2637" w:rsidRPr="00EF19AE">
        <w:t xml:space="preserve">62; 1942 Code </w:t>
      </w:r>
      <w:r w:rsidRPr="00EF19AE">
        <w:t xml:space="preserve">Section </w:t>
      </w:r>
      <w:r w:rsidR="004F2637" w:rsidRPr="00EF19AE">
        <w:t>7847; 1934 (38) 1465.</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60.</w:t>
      </w:r>
      <w:r w:rsidR="004F2637" w:rsidRPr="00EF19AE">
        <w:t xml:space="preserve"> Investment of public funds in savings and loan associations and building and loan associations.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The State or any department, institution, agency, district, county, municipality or other political subdivision of the State or any political or public corporation of the State or of the United States may invest its funds or the monies in its custody or possession eligible for investment in the shares of any Federal savings and loan association or in the shares of any building and loan association organized and existing under the laws of this State when such shares are insured by the Federal Savings and Loan Insurance Corporation and also in bonds or debentures issued by any Federal home loan bank or in the consolidated bonds or debentures issued by the Federal Home Loan Bank Board.</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63; 1952 Code </w:t>
      </w:r>
      <w:r w:rsidRPr="00EF19AE">
        <w:t xml:space="preserve">Section </w:t>
      </w:r>
      <w:r w:rsidR="004F2637" w:rsidRPr="00EF19AE">
        <w:t>1</w:t>
      </w:r>
      <w:r w:rsidRPr="00EF19AE">
        <w:noBreakHyphen/>
      </w:r>
      <w:r w:rsidR="004F2637" w:rsidRPr="00EF19AE">
        <w:t xml:space="preserve">63; 1942 Code </w:t>
      </w:r>
      <w:r w:rsidRPr="00EF19AE">
        <w:t xml:space="preserve">Section </w:t>
      </w:r>
      <w:r w:rsidR="004F2637" w:rsidRPr="00EF19AE">
        <w:t>9051</w:t>
      </w:r>
      <w:r w:rsidRPr="00EF19AE">
        <w:noBreakHyphen/>
      </w:r>
      <w:r w:rsidR="004F2637" w:rsidRPr="00EF19AE">
        <w:t>2; 1935 (39) 289.</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70.</w:t>
      </w:r>
      <w:r w:rsidR="004F2637" w:rsidRPr="00EF19AE">
        <w:t xml:space="preserve"> Investment of public pension funds in obligations of International Bank; use of these obligations as deposits of collateral and security.</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(1) The following terms as used in this section shall have the meanings set forth below, viz.:</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(a) The term "person" shall mean any individual, firm, partnership, corporation, association or institution, including banks chartered under state or national laws;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(b) The term "public bodies" shall mean the State of South Carolina, any county of the State, any incorporated city or town in the State, and any division or political subdivision of the State;</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(c) The term "public agency" shall mean any authority, board, commission, governing body, any department of any of the foregoing and any public officer acting in an official capacity and performing functions committed by law, for any public body;</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(d) "The International Bank" means the International Bank for Reconstruction and Development, the African Development Bank, or the Asian Development Bank, each of which is an international institution, the members of which are governments of certain nations of the world including the government of the United States, and which was established and is operating under articles of agreement signed by those governments;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(e) The term "pension funds" shall mean pension funds established by public bodies and which are administered by persons or public agencies.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(2) Notwithstanding any other provision of law, public agencies may invest pension funds in obligations issued or unconditionally guaranteed by the International Bank.</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(3) Such obligations issued or unconditionally guaranteed by the International Bank shall be eligible as deposits of collateral, as security for the deposit of public funds, and for all other types of deposits to be made with any public agency.</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1962 Code </w:t>
      </w:r>
      <w:r w:rsidRPr="00EF19AE">
        <w:t xml:space="preserve">Section </w:t>
      </w:r>
      <w:r w:rsidR="004F2637" w:rsidRPr="00EF19AE">
        <w:t>1</w:t>
      </w:r>
      <w:r w:rsidRPr="00EF19AE">
        <w:noBreakHyphen/>
      </w:r>
      <w:r w:rsidR="004F2637" w:rsidRPr="00EF19AE">
        <w:t xml:space="preserve">64; 1955 (49) 195; 1972 (57) 2584; 1990 Act No. 314, </w:t>
      </w:r>
      <w:r w:rsidRPr="00EF19AE">
        <w:t xml:space="preserve">Section </w:t>
      </w:r>
      <w:r w:rsidR="004F2637" w:rsidRPr="00EF19AE">
        <w:t>1.</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80.</w:t>
      </w:r>
      <w:r w:rsidR="004F2637" w:rsidRPr="00EF19AE">
        <w:t xml:space="preserve"> Restrictions on issuance of state capital improvement bonds for beach renourishment projects.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No state capital improvement bonds may be issued for beach renourishment projects in the absence of any provision of law that establishes specific criteria for the distribution of bond proceeds for the projects.</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2637" w:rsidRPr="00EF19AE">
        <w:t xml:space="preserve">: 1988 Act No. 658, Part II, </w:t>
      </w:r>
      <w:r w:rsidRPr="00EF19AE">
        <w:t xml:space="preserve">Section </w:t>
      </w:r>
      <w:r w:rsidR="004F2637" w:rsidRPr="00EF19AE">
        <w:t>50.</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85.</w:t>
      </w:r>
      <w:r w:rsidR="004F2637" w:rsidRPr="00EF19AE">
        <w:t xml:space="preserve"> Covenant required.</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Notwithstanding any other provision of law, a tax</w:t>
      </w:r>
      <w:r w:rsidR="00EF19AE" w:rsidRPr="00EF19AE">
        <w:noBreakHyphen/>
      </w:r>
      <w:r w:rsidRPr="00EF19AE">
        <w:t>exempt bond issued by or on behalf of any public or private body or entity must include in the issuing indenture, ordinance, or resolution a covenant requiring the issuer to file with a central repository for availability in the secondary bond market when requested:</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(1) an annual independent audit, within thirty days of the issuer's receipt of the audit, and</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r>
      <w:r w:rsidRPr="00EF19AE">
        <w:tab/>
        <w:t>(2) event specific information, within thirty days of an event adversely affecting more than five percent of revenue or its tax base.</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2637" w:rsidRPr="00EF19AE">
        <w:t xml:space="preserve">: 1994 Act No. 442, </w:t>
      </w:r>
      <w:r w:rsidRPr="00EF19AE">
        <w:t xml:space="preserve">Section </w:t>
      </w:r>
      <w:r w:rsidR="004F2637" w:rsidRPr="00EF19AE">
        <w:t>1.</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Editor's Note</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 xml:space="preserve">1994 Act No. 442, </w:t>
      </w:r>
      <w:r w:rsidR="00EF19AE" w:rsidRPr="00EF19AE">
        <w:t xml:space="preserve">Section </w:t>
      </w:r>
      <w:r w:rsidRPr="00EF19AE">
        <w:t>2, provides as follows:</w:t>
      </w:r>
    </w:p>
    <w:p w:rsidR="00EF19AE" w:rsidRP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F19AE">
        <w:t>"This act takes effect on the first day of the second month following approval by the Governor [approved June 16, 1994] and applies with respect to tax</w:t>
      </w:r>
      <w:r w:rsidR="00EF19AE" w:rsidRPr="00EF19AE">
        <w:noBreakHyphen/>
      </w:r>
      <w:r w:rsidRPr="00EF19AE">
        <w:t>exempt bond indentures executed on or after that date."</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100.</w:t>
      </w:r>
      <w:r w:rsidR="004F2637" w:rsidRPr="00EF19AE">
        <w:t xml:space="preserve"> Starting date of projects funded with capital improvement bonds regulated.</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lastRenderedPageBreak/>
        <w:tab/>
        <w:t>The State Fiscal Accountability Authority or Department of Administration, as appropriate, after review of the Joint Bond Review Committee, is authorized and directed to regulate the starting date of the various projects approved for funding through the issuance of Capital Improvement Bonds so as to ensure that the appropriations for debt service on these bonds, as provided in the general appropriations act, is sufficient during the current fiscal year.</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2637" w:rsidRPr="00EF19AE">
        <w:t xml:space="preserve">: 1995 Act No. 145, Part II, </w:t>
      </w:r>
      <w:r w:rsidRPr="00EF19AE">
        <w:t xml:space="preserve">Section </w:t>
      </w:r>
      <w:r w:rsidR="004F2637" w:rsidRPr="00EF19AE">
        <w:t>32.</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Code Commissioner's Note</w:t>
      </w:r>
    </w:p>
    <w:p w:rsidR="00EF19AE" w:rsidRP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F19A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F19AE" w:rsidRPr="00EF19AE">
        <w:t xml:space="preserve">Section </w:t>
      </w:r>
      <w:r w:rsidRPr="00EF19AE">
        <w:t>5(D)(1), effective July 1, 2015.</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110.</w:t>
      </w:r>
      <w:r w:rsidR="004F2637" w:rsidRPr="00EF19AE">
        <w:t xml:space="preserve"> State Fiscal Accountability Authority to issue and sell bonds, notes, or other obligations; review by Joint Bond Review Committee.</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The State Fiscal Accountability Authority is authorized to issue and sell bonds, notes, or other obligations for the purpose of acquiring, constructing, renovating, or maintaining facilities for the use of and occupancy of state departments and agencies or to refund such bonds, notes, or other obligations, provided that these obligations must be payable solely from revenues derived from the renting, leasing, or sale of all or any designated portion of such facilities held by the State Fiscal Accountability Authority for the use of and occupancy by state departments and agencies and must be secured by a pledge of the revenues from such designated facilities and, at the option of the State Fiscal Accountability Authority, may be additionally secured by a mortgage of these facilities; provided, further, that the issuance and the sale of the bonds, notes, or other obligations provided for in this section are subject to the review of the Joint Bond Review Committee.</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2637" w:rsidRPr="00EF19AE">
        <w:t xml:space="preserve">: 1995 Act No. 145, Part II, </w:t>
      </w:r>
      <w:r w:rsidRPr="00EF19AE">
        <w:t xml:space="preserve">Section </w:t>
      </w:r>
      <w:r w:rsidR="004F2637" w:rsidRPr="00EF19AE">
        <w:t xml:space="preserve">72; 2004 Act No. 184, </w:t>
      </w:r>
      <w:r w:rsidRPr="00EF19AE">
        <w:t xml:space="preserve">Section </w:t>
      </w:r>
      <w:r w:rsidR="004F2637" w:rsidRPr="00EF19AE">
        <w:t>10.</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Code Commissioner's Note</w:t>
      </w:r>
    </w:p>
    <w:p w:rsidR="00EF19AE" w:rsidRP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F19A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F19AE" w:rsidRPr="00EF19AE">
        <w:t xml:space="preserve">Section </w:t>
      </w:r>
      <w:r w:rsidRPr="00EF19AE">
        <w:t>5(D)(1), effective July 1, 2015.</w:t>
      </w:r>
    </w:p>
    <w:p w:rsidR="00EF19AE" w:rsidRP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rPr>
          <w:b/>
        </w:rPr>
        <w:t xml:space="preserve">SECTION </w:t>
      </w:r>
      <w:r w:rsidR="004F2637" w:rsidRPr="00EF19AE">
        <w:rPr>
          <w:b/>
        </w:rPr>
        <w:t>11</w:t>
      </w:r>
      <w:r w:rsidRPr="00EF19AE">
        <w:rPr>
          <w:b/>
        </w:rPr>
        <w:noBreakHyphen/>
      </w:r>
      <w:r w:rsidR="004F2637" w:rsidRPr="00EF19AE">
        <w:rPr>
          <w:b/>
        </w:rPr>
        <w:t>1</w:t>
      </w:r>
      <w:r w:rsidRPr="00EF19AE">
        <w:rPr>
          <w:b/>
        </w:rPr>
        <w:noBreakHyphen/>
      </w:r>
      <w:r w:rsidR="004F2637" w:rsidRPr="00EF19AE">
        <w:rPr>
          <w:b/>
        </w:rPr>
        <w:t>120.</w:t>
      </w:r>
      <w:r w:rsidR="004F2637" w:rsidRPr="00EF19AE">
        <w:t xml:space="preserve"> Suits on payment bonds; remote claimants.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When the State or a county, city, public service district, or other political subdivision thereof, or other public entity contracts for construction and requires the person or entity performing the work to furnish a payment bond not governed by Section 11</w:t>
      </w:r>
      <w:r w:rsidR="00EF19AE" w:rsidRPr="00EF19AE">
        <w:noBreakHyphen/>
      </w:r>
      <w:r w:rsidRPr="00EF19AE">
        <w:t>35</w:t>
      </w:r>
      <w:r w:rsidR="00EF19AE" w:rsidRPr="00EF19AE">
        <w:noBreakHyphen/>
      </w:r>
      <w:r w:rsidRPr="00EF19AE">
        <w:t>3030(2)(c) or Section 57</w:t>
      </w:r>
      <w:r w:rsidR="00EF19AE" w:rsidRPr="00EF19AE">
        <w:noBreakHyphen/>
      </w:r>
      <w:r w:rsidRPr="00EF19AE">
        <w:t>5</w:t>
      </w:r>
      <w:r w:rsidR="00EF19AE" w:rsidRPr="00EF19AE">
        <w:noBreakHyphen/>
      </w:r>
      <w:r w:rsidRPr="00EF19AE">
        <w:t>1660(b), for the protection of persons who furnish labor, material, or rental equipment to the contractor or its subcontractors for the work specified in the contract, the following provisions shall apply.</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Every person who has furnished labor, material, or rental equipment to a bonded contractor or its subcontractors in the prosecution of the work provided for in the contract for construction, and who has not been paid in full therefor before the expiration of a period of ninety days after the day on which the last of the labor was done or performed by him or material or rental equipment was furnished or supplied by him for which such claim is made, shall have the right to sue on such bond for the amount, or the balance thereof, unpaid at the time of the institution of such suit and to prosecute such action to final execution and judgment for the sum or sums justly due him.</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A remote claimant shall have a right of action on the payment bond only upon giving written notice by certified or registered mail to the bonded contractor within ninety days from the date on which such person did or performed the last of the labor or furnished or supplied the last of the material or rental equipment upon which such claim is made. However, in no event shall the aggregate amount of any claim against such payment bond by a remote claimant exceed the amount due by the bonded contractor to the person to whom the remote claimant has supplied labor, materials, rental equipment, or services, unless the remote claimant has provided notice of furnishing labor, materials, or rental equipment to the bonded contractor. Such written notice to the bonded contractor must generally conform to the requirements of Section 29</w:t>
      </w:r>
      <w:r w:rsidR="00EF19AE" w:rsidRPr="00EF19AE">
        <w:noBreakHyphen/>
      </w:r>
      <w:r w:rsidRPr="00EF19AE">
        <w:t>5</w:t>
      </w:r>
      <w:r w:rsidR="00EF19AE" w:rsidRPr="00EF19AE">
        <w:noBreakHyphen/>
      </w:r>
      <w:r w:rsidRPr="00EF19AE">
        <w:t>20(B) and sent by certified mail or registered mail to the bonded contractor at any place the bonded contractor maintains a permanent office for the conduct of its business, or at the current address as shown on the records of the Department of Labor, Licensing and Regulation. After receiving the notice of furnishing labor, materials, or rental equipment, no payment by the bonded contractor shall lessen the amount recoverable by the remote claimant. However, in no event shall the aggregate amount of claims on the payment bond exceed the penal sum of the bond.</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No suit under this section shall be commenced after the expiration of one year after the last date of providing or furnishing labor, materials, rental equipment, or services.</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 xml:space="preserve">For purposes of this section, "bonded contractor" means a contractor or subcontractor furnishing a payment bond, and "remote claimant" means a person having a direct contractual relationship with a subcontractor or supplier of a bonded contractor, but no contractual relationship expressed or implied </w:t>
      </w:r>
      <w:r w:rsidRPr="00EF19AE">
        <w:lastRenderedPageBreak/>
        <w:t>with the bonded contractor. Any payment bond surety for the bonded contractor must have the same rights and defenses of the bonded contractor as provided in this section.</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ab/>
        <w:t>If the State, or county, city, public service district, or other political subdivision of the State, or other public entity contracts for construction and requires the contractor to furnish a payment bond pursuant to this section, the State, political subdivision of this State, or other public entity of this State may not exact that the payment bond be furnished by a particular surety company or through a particular agent or broker.</w:t>
      </w: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F19AE" w:rsidRDefault="00EF19AE"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2637" w:rsidRPr="00EF19AE">
        <w:t xml:space="preserve">: 2000 Act No. 240, </w:t>
      </w:r>
      <w:r w:rsidRPr="00EF19AE">
        <w:t xml:space="preserve">Section </w:t>
      </w:r>
      <w:r w:rsidR="004F2637" w:rsidRPr="00EF19AE">
        <w:t xml:space="preserve">4; 2002 Act No. 253, </w:t>
      </w:r>
      <w:r w:rsidRPr="00EF19AE">
        <w:t xml:space="preserve">Section </w:t>
      </w:r>
      <w:r w:rsidR="004F2637" w:rsidRPr="00EF19AE">
        <w:t xml:space="preserve">2; 2014 Act No. 264 (S.1026), </w:t>
      </w:r>
      <w:r w:rsidRPr="00EF19AE">
        <w:t xml:space="preserve">Section </w:t>
      </w:r>
      <w:r w:rsidR="004F2637" w:rsidRPr="00EF19AE">
        <w:t>2, eff June 6, 2014.</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Effect of Amendment</w:t>
      </w:r>
    </w:p>
    <w:p w:rsidR="00EF19AE" w:rsidRDefault="004F2637"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F19AE">
        <w:t xml:space="preserve">2014 Act No. 264, </w:t>
      </w:r>
      <w:r w:rsidR="00EF19AE" w:rsidRPr="00EF19AE">
        <w:t xml:space="preserve">Section </w:t>
      </w:r>
      <w:r w:rsidRPr="00EF19AE">
        <w:t>2, in the third paragraph, substituted "must generally conform to the requirements of Section 29</w:t>
      </w:r>
      <w:r w:rsidR="00EF19AE" w:rsidRPr="00EF19AE">
        <w:noBreakHyphen/>
      </w:r>
      <w:r w:rsidRPr="00EF19AE">
        <w:t>5</w:t>
      </w:r>
      <w:r w:rsidR="00EF19AE" w:rsidRPr="00EF19AE">
        <w:noBreakHyphen/>
      </w:r>
      <w:r w:rsidRPr="00EF19AE">
        <w:t>20(B) and sent by certified mail or registered mail" for "shall be personally served or sent by fax or sent by electronic mail or sent by registered or certified mail, postage prepaid,"; and in the fifth paragraph, inserted "or supplier" in the first sentence, and added the second sentence, relating to rights and defenses.</w:t>
      </w:r>
    </w:p>
    <w:p w:rsidR="003C285A" w:rsidRPr="00EF19AE" w:rsidRDefault="003C285A" w:rsidP="00EF19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F19AE" w:rsidSect="00EF19A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F19AE" w:rsidRDefault="00EF19AE" w:rsidP="00EF19AE">
      <w:pPr>
        <w:spacing w:after="0" w:line="240" w:lineRule="auto"/>
      </w:pPr>
      <w:r>
        <w:separator/>
      </w:r>
    </w:p>
  </w:endnote>
  <w:endnote w:type="continuationSeparator" w:id="0">
    <w:p w:rsidR="00EF19AE" w:rsidRDefault="00EF19AE" w:rsidP="00EF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19AE" w:rsidRPr="00EF19AE" w:rsidRDefault="00EF19AE" w:rsidP="00EF1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19AE" w:rsidRPr="00EF19AE" w:rsidRDefault="00EF19AE" w:rsidP="00EF19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19AE" w:rsidRPr="00EF19AE" w:rsidRDefault="00EF19AE" w:rsidP="00EF1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F19AE" w:rsidRDefault="00EF19AE" w:rsidP="00EF19AE">
      <w:pPr>
        <w:spacing w:after="0" w:line="240" w:lineRule="auto"/>
      </w:pPr>
      <w:r>
        <w:separator/>
      </w:r>
    </w:p>
  </w:footnote>
  <w:footnote w:type="continuationSeparator" w:id="0">
    <w:p w:rsidR="00EF19AE" w:rsidRDefault="00EF19AE" w:rsidP="00EF1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19AE" w:rsidRPr="00EF19AE" w:rsidRDefault="00EF19AE" w:rsidP="00EF1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19AE" w:rsidRPr="00EF19AE" w:rsidRDefault="00EF19AE" w:rsidP="00EF1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19AE" w:rsidRPr="00EF19AE" w:rsidRDefault="00EF19AE" w:rsidP="00EF19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37"/>
    <w:rsid w:val="000929E5"/>
    <w:rsid w:val="00197975"/>
    <w:rsid w:val="00215E01"/>
    <w:rsid w:val="002C68C1"/>
    <w:rsid w:val="003C285A"/>
    <w:rsid w:val="004F2637"/>
    <w:rsid w:val="00514D67"/>
    <w:rsid w:val="007248EF"/>
    <w:rsid w:val="00892412"/>
    <w:rsid w:val="00984CB8"/>
    <w:rsid w:val="009B3280"/>
    <w:rsid w:val="00A115C1"/>
    <w:rsid w:val="00EF19A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AC498-D151-4BB6-9260-E2DE0082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F2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2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2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6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6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6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6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2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2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637"/>
    <w:rPr>
      <w:rFonts w:eastAsiaTheme="majorEastAsia" w:cstheme="majorBidi"/>
      <w:color w:val="272727" w:themeColor="text1" w:themeTint="D8"/>
    </w:rPr>
  </w:style>
  <w:style w:type="paragraph" w:styleId="Title">
    <w:name w:val="Title"/>
    <w:basedOn w:val="Normal"/>
    <w:next w:val="Normal"/>
    <w:link w:val="TitleChar"/>
    <w:uiPriority w:val="10"/>
    <w:qFormat/>
    <w:rsid w:val="004F2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637"/>
    <w:pPr>
      <w:spacing w:before="160"/>
      <w:jc w:val="center"/>
    </w:pPr>
    <w:rPr>
      <w:i/>
      <w:iCs/>
      <w:color w:val="404040" w:themeColor="text1" w:themeTint="BF"/>
    </w:rPr>
  </w:style>
  <w:style w:type="character" w:customStyle="1" w:styleId="QuoteChar">
    <w:name w:val="Quote Char"/>
    <w:basedOn w:val="DefaultParagraphFont"/>
    <w:link w:val="Quote"/>
    <w:uiPriority w:val="29"/>
    <w:rsid w:val="004F2637"/>
    <w:rPr>
      <w:i/>
      <w:iCs/>
      <w:color w:val="404040" w:themeColor="text1" w:themeTint="BF"/>
    </w:rPr>
  </w:style>
  <w:style w:type="paragraph" w:styleId="ListParagraph">
    <w:name w:val="List Paragraph"/>
    <w:basedOn w:val="Normal"/>
    <w:uiPriority w:val="34"/>
    <w:qFormat/>
    <w:rsid w:val="004F2637"/>
    <w:pPr>
      <w:ind w:left="720"/>
      <w:contextualSpacing/>
    </w:pPr>
  </w:style>
  <w:style w:type="character" w:styleId="IntenseEmphasis">
    <w:name w:val="Intense Emphasis"/>
    <w:basedOn w:val="DefaultParagraphFont"/>
    <w:uiPriority w:val="21"/>
    <w:qFormat/>
    <w:rsid w:val="004F2637"/>
    <w:rPr>
      <w:i/>
      <w:iCs/>
      <w:color w:val="0F4761" w:themeColor="accent1" w:themeShade="BF"/>
    </w:rPr>
  </w:style>
  <w:style w:type="paragraph" w:styleId="IntenseQuote">
    <w:name w:val="Intense Quote"/>
    <w:basedOn w:val="Normal"/>
    <w:next w:val="Normal"/>
    <w:link w:val="IntenseQuoteChar"/>
    <w:uiPriority w:val="30"/>
    <w:qFormat/>
    <w:rsid w:val="004F2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637"/>
    <w:rPr>
      <w:i/>
      <w:iCs/>
      <w:color w:val="0F4761" w:themeColor="accent1" w:themeShade="BF"/>
    </w:rPr>
  </w:style>
  <w:style w:type="character" w:styleId="IntenseReference">
    <w:name w:val="Intense Reference"/>
    <w:basedOn w:val="DefaultParagraphFont"/>
    <w:uiPriority w:val="32"/>
    <w:qFormat/>
    <w:rsid w:val="004F26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F26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F26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F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9AE"/>
    <w:rPr>
      <w:rFonts w:ascii="Times New Roman" w:hAnsi="Times New Roman" w:cs="Times New Roman"/>
      <w:kern w:val="0"/>
      <w14:ligatures w14:val="none"/>
    </w:rPr>
  </w:style>
  <w:style w:type="paragraph" w:styleId="Footer">
    <w:name w:val="footer"/>
    <w:basedOn w:val="Normal"/>
    <w:link w:val="FooterChar"/>
    <w:uiPriority w:val="99"/>
    <w:unhideWhenUsed/>
    <w:rsid w:val="00EF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9A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2675</Words>
  <Characters>15250</Characters>
  <Application>Microsoft Office Word</Application>
  <DocSecurity>0</DocSecurity>
  <Lines>127</Lines>
  <Paragraphs>35</Paragraphs>
  <ScaleCrop>false</ScaleCrop>
  <Company>Legislative Services Agency</Company>
  <LinksUpToDate>false</LinksUpToDate>
  <CharactersWithSpaces>17890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