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D28E4">
        <w:t>CHAPTER 6</w:t>
      </w:r>
    </w:p>
    <w:p w:rsidR="002D28E4" w:rsidRP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D28E4">
        <w:t>Uniform Statutory Rule Against Perpetuities</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10.</w:t>
      </w:r>
      <w:r w:rsidR="003E76B3" w:rsidRPr="002D28E4">
        <w:t xml:space="preserve"> Short title.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This chapter may be cited as the Uniform Statutory Rule Against Perpetuities.</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20.</w:t>
      </w:r>
      <w:r w:rsidR="003E76B3" w:rsidRPr="002D28E4">
        <w:t xml:space="preserve"> Nonvested property interest or power of appointment.</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(A) A nonvested property interest is invalid unless:</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(1) when the interest is created, it is certain to vest or terminate no later than twenty</w:t>
      </w:r>
      <w:r w:rsidR="002D28E4" w:rsidRPr="002D28E4">
        <w:noBreakHyphen/>
      </w:r>
      <w:r w:rsidRPr="002D28E4">
        <w:t>one years after the death of an individual then alive; or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(2) the interest either vests or terminates within ninety years after its creation.</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(B) A general power of appointment not presently exercisable because of a condition precedent is invalid unless:</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(1) when the power is created, the condition precedent is certain to be satisfied or become impossible to satisfy no later than twenty</w:t>
      </w:r>
      <w:r w:rsidR="002D28E4" w:rsidRPr="002D28E4">
        <w:noBreakHyphen/>
      </w:r>
      <w:r w:rsidRPr="002D28E4">
        <w:t>one years after the death of an individual then alive; or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(2) the condition precedent either is satisfied or becomes impossible to satisfy within ninety years after its creation.</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(C) A nongeneral power of appointment or a general testamentary power of appointment is invalid unless:</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(1) when the power is created, it is certain to be irrevocably exercised or to terminate no later than twenty</w:t>
      </w:r>
      <w:r w:rsidR="002D28E4" w:rsidRPr="002D28E4">
        <w:noBreakHyphen/>
      </w:r>
      <w:r w:rsidRPr="002D28E4">
        <w:t>one years after the death of an individual then alive; or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(2) the power is irrevocably exercised or terminates within ninety years after its creation.</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(D) In determining whether a nonvested property interest or a power of appointment is valid under subsection (A)(1), (B)(1), or (C)(1), the possibility that a child will be born to an individual after the individual's death is disregarded.</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30.</w:t>
      </w:r>
      <w:r w:rsidR="003E76B3" w:rsidRPr="002D28E4">
        <w:t xml:space="preserve"> Creation of property interests and powers of appointment.</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 xml:space="preserve">(A) Except as provided in subsections (B) and (C) and in </w:t>
      </w:r>
      <w:r w:rsidR="002D28E4" w:rsidRPr="002D28E4">
        <w:t xml:space="preserve">Section </w:t>
      </w:r>
      <w:r w:rsidRPr="002D28E4">
        <w:t>27</w:t>
      </w:r>
      <w:r w:rsidR="002D28E4" w:rsidRPr="002D28E4">
        <w:noBreakHyphen/>
      </w:r>
      <w:r w:rsidRPr="002D28E4">
        <w:t>6</w:t>
      </w:r>
      <w:r w:rsidR="002D28E4" w:rsidRPr="002D28E4">
        <w:noBreakHyphen/>
      </w:r>
      <w:r w:rsidRPr="002D28E4">
        <w:t>60(A), the time of creation of a nonvested property interest or a power of appointment is determined under general principles of property law.</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 xml:space="preserve">(B) If there is a person who alone can exercise a power created by a governing instrument to become the unqualified beneficial owner of (i) a nonvested property interest or (ii) a property interest subject to a power of appointment described in </w:t>
      </w:r>
      <w:r w:rsidR="002D28E4" w:rsidRPr="002D28E4">
        <w:t xml:space="preserve">Section </w:t>
      </w:r>
      <w:r w:rsidRPr="002D28E4">
        <w:t>27</w:t>
      </w:r>
      <w:r w:rsidR="002D28E4" w:rsidRPr="002D28E4">
        <w:noBreakHyphen/>
      </w:r>
      <w:r w:rsidRPr="002D28E4">
        <w:t>6</w:t>
      </w:r>
      <w:r w:rsidR="002D28E4" w:rsidRPr="002D28E4">
        <w:noBreakHyphen/>
      </w:r>
      <w:r w:rsidRPr="002D28E4">
        <w:t>20(B) or 27</w:t>
      </w:r>
      <w:r w:rsidR="002D28E4" w:rsidRPr="002D28E4">
        <w:noBreakHyphen/>
      </w:r>
      <w:r w:rsidRPr="002D28E4">
        <w:t>6</w:t>
      </w:r>
      <w:r w:rsidR="002D28E4" w:rsidRPr="002D28E4">
        <w:noBreakHyphen/>
      </w:r>
      <w:r w:rsidRPr="002D28E4">
        <w:t>20(C), the nonvested property interest or power of appointment is created when the power to become the unqualified beneficial owner terminates. A joint power with respect to community property or to marital property under a Uniform Marital Property Act held by individuals married to each other is a power exercisable by one person alone.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(C) A nonvested property interest or a power of appointment arising from a transfer of property to a previously funded trust or other existing property arrangement is created when the nonvested property interest or power of appointment in the original contribution was created.</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40.</w:t>
      </w:r>
      <w:r w:rsidR="003E76B3" w:rsidRPr="002D28E4">
        <w:t xml:space="preserve"> Reformation of property dispositions.</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Upon the petition of an interested person, a court shall reform a disposition in the manner that most closely approximates the transferor's manifested plan of distribution and is within the ninety years permitted by this chapter if:</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 xml:space="preserve">(1) a nonvested property interest or a power of appointment becomes invalid under </w:t>
      </w:r>
      <w:r w:rsidR="002D28E4" w:rsidRPr="002D28E4">
        <w:t xml:space="preserve">Section </w:t>
      </w:r>
      <w:r w:rsidRPr="002D28E4">
        <w:t>27</w:t>
      </w:r>
      <w:r w:rsidR="002D28E4" w:rsidRPr="002D28E4">
        <w:noBreakHyphen/>
      </w:r>
      <w:r w:rsidRPr="002D28E4">
        <w:t>6</w:t>
      </w:r>
      <w:r w:rsidR="002D28E4" w:rsidRPr="002D28E4">
        <w:noBreakHyphen/>
      </w:r>
      <w:r w:rsidRPr="002D28E4">
        <w:t>20;</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lastRenderedPageBreak/>
        <w:tab/>
      </w:r>
      <w:r w:rsidRPr="002D28E4">
        <w:tab/>
        <w:t xml:space="preserve">(2) a class gift is not but may become invalid under </w:t>
      </w:r>
      <w:r w:rsidR="002D28E4" w:rsidRPr="002D28E4">
        <w:t xml:space="preserve">Section </w:t>
      </w:r>
      <w:r w:rsidRPr="002D28E4">
        <w:t>27</w:t>
      </w:r>
      <w:r w:rsidR="002D28E4" w:rsidRPr="002D28E4">
        <w:noBreakHyphen/>
      </w:r>
      <w:r w:rsidRPr="002D28E4">
        <w:t>6</w:t>
      </w:r>
      <w:r w:rsidR="002D28E4" w:rsidRPr="002D28E4">
        <w:noBreakHyphen/>
      </w:r>
      <w:r w:rsidRPr="002D28E4">
        <w:t>20 and the time has arrived when the share of any class member is to take effect in possession or enjoyment; or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r>
      <w:r w:rsidRPr="002D28E4">
        <w:tab/>
        <w:t xml:space="preserve">(3) a nonvested property interest that is not validated by </w:t>
      </w:r>
      <w:r w:rsidR="002D28E4" w:rsidRPr="002D28E4">
        <w:t xml:space="preserve">Section </w:t>
      </w:r>
      <w:r w:rsidRPr="002D28E4">
        <w:t>27</w:t>
      </w:r>
      <w:r w:rsidR="002D28E4" w:rsidRPr="002D28E4">
        <w:noBreakHyphen/>
      </w:r>
      <w:r w:rsidRPr="002D28E4">
        <w:t>6</w:t>
      </w:r>
      <w:r w:rsidR="002D28E4" w:rsidRPr="002D28E4">
        <w:noBreakHyphen/>
      </w:r>
      <w:r w:rsidRPr="002D28E4">
        <w:t>20(A)(1) can vest but not within ninety years after its creation.</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50.</w:t>
      </w:r>
      <w:r w:rsidR="003E76B3" w:rsidRPr="002D28E4">
        <w:t xml:space="preserve"> Exceptions to rule.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Section 27</w:t>
      </w:r>
      <w:r w:rsidR="002D28E4" w:rsidRPr="002D28E4">
        <w:noBreakHyphen/>
      </w:r>
      <w:r w:rsidRPr="002D28E4">
        <w:t>6</w:t>
      </w:r>
      <w:r w:rsidR="002D28E4" w:rsidRPr="002D28E4">
        <w:noBreakHyphen/>
      </w:r>
      <w:r w:rsidRPr="002D28E4">
        <w:t>20 does not apply to:</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(1) a nonvested property interest or a power of appointment arising out of a nondonative transfer, except a nonvested property interest or a power of appointment arising out of (i) a premarital or postmarital agreement, (ii) a separation or divorce settlement, (iii) a spouse's election, (iv) a similar arrangement arising out of a prospective, existing, or previous marital relationship between the parties, (v) a contract to make or not to revoke a will or trust, (vi) a contract to exercise or not to exercise a power of appointment, (vii) a transfer in satisfaction of a duty of support, or (viii) a reciprocal transfer;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(2) a fiduciary's power relating to the administration or management of assets, including the power of a fiduciary to sell, lease, or mortgage property, and the power of a fiduciary to determine principal and income;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(3) a power to appoint a fiduciary;</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(4) a discretionary power of a trustee to distribute principal before termination of a trust to a beneficiary having an indefeasibly vested interest in the income and principal;</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(5) a nonvested property interest held by a charity, government, or governmental agency or subdivision, if the nonvested property interest is preceded by an interest held by another charity, government, or governmental agency or subdivision;</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(6) a nonvested property interest in or a power of appointment with respect to a trust or other property arrangement forming part of a pension, profit</w:t>
      </w:r>
      <w:r w:rsidR="002D28E4" w:rsidRPr="002D28E4">
        <w:noBreakHyphen/>
      </w:r>
      <w:r w:rsidRPr="002D28E4">
        <w:t>sharing, stock bonus, and health, disability, death benefit, income deferral, or other current or deferred benefit plan for one or more employees, independent contractors, or their beneficiaries or spouses, to which contributions are made for the purpose of distributing to or for the benefit of the participants or their beneficiaries or spouses the property, income, or principal in the trust or other property arrangement, except a nonvested property interest or a power of appointment that is created by an election of a participant or a beneficiary or spouse; or</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(7) a property interest, power of appointment, or arrangement that was not subject to the common law rule against perpetuities or is excluded by another statute of this State, including, but not limited to, the interests, powers, and arrangements coming within Sections 13</w:t>
      </w:r>
      <w:r w:rsidR="002D28E4" w:rsidRPr="002D28E4">
        <w:noBreakHyphen/>
      </w:r>
      <w:r w:rsidRPr="002D28E4">
        <w:t>7</w:t>
      </w:r>
      <w:r w:rsidR="002D28E4" w:rsidRPr="002D28E4">
        <w:noBreakHyphen/>
      </w:r>
      <w:r w:rsidRPr="002D28E4">
        <w:t>30, 27</w:t>
      </w:r>
      <w:r w:rsidR="002D28E4" w:rsidRPr="002D28E4">
        <w:noBreakHyphen/>
      </w:r>
      <w:r w:rsidRPr="002D28E4">
        <w:t>5</w:t>
      </w:r>
      <w:r w:rsidR="002D28E4" w:rsidRPr="002D28E4">
        <w:noBreakHyphen/>
      </w:r>
      <w:r w:rsidRPr="002D28E4">
        <w:t>70, 27</w:t>
      </w:r>
      <w:r w:rsidR="002D28E4" w:rsidRPr="002D28E4">
        <w:noBreakHyphen/>
      </w:r>
      <w:r w:rsidRPr="002D28E4">
        <w:t>5</w:t>
      </w:r>
      <w:r w:rsidR="002D28E4" w:rsidRPr="002D28E4">
        <w:noBreakHyphen/>
      </w:r>
      <w:r w:rsidRPr="002D28E4">
        <w:t>80, 33</w:t>
      </w:r>
      <w:r w:rsidR="002D28E4" w:rsidRPr="002D28E4">
        <w:noBreakHyphen/>
      </w:r>
      <w:r w:rsidRPr="002D28E4">
        <w:t>53</w:t>
      </w:r>
      <w:r w:rsidR="002D28E4" w:rsidRPr="002D28E4">
        <w:noBreakHyphen/>
      </w:r>
      <w:r w:rsidRPr="002D28E4">
        <w:t>30, 39</w:t>
      </w:r>
      <w:r w:rsidR="002D28E4" w:rsidRPr="002D28E4">
        <w:noBreakHyphen/>
      </w:r>
      <w:r w:rsidRPr="002D28E4">
        <w:t>55</w:t>
      </w:r>
      <w:r w:rsidR="002D28E4" w:rsidRPr="002D28E4">
        <w:noBreakHyphen/>
      </w:r>
      <w:r w:rsidRPr="002D28E4">
        <w:t>135, and 62</w:t>
      </w:r>
      <w:r w:rsidR="002D28E4" w:rsidRPr="002D28E4">
        <w:noBreakHyphen/>
      </w:r>
      <w:r w:rsidRPr="002D28E4">
        <w:t>7</w:t>
      </w:r>
      <w:r w:rsidR="002D28E4" w:rsidRPr="002D28E4">
        <w:noBreakHyphen/>
      </w:r>
      <w:r w:rsidRPr="002D28E4">
        <w:t>909.</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76B3" w:rsidRPr="002D28E4">
        <w:t xml:space="preserve">: 1987 Act No. 12, </w:t>
      </w:r>
      <w:r w:rsidRPr="002D28E4">
        <w:t xml:space="preserve">Section </w:t>
      </w:r>
      <w:r w:rsidR="003E76B3" w:rsidRPr="002D28E4">
        <w:t xml:space="preserve">1; 2005 Act No. 66, </w:t>
      </w:r>
      <w:r w:rsidRPr="002D28E4">
        <w:t xml:space="preserve">Section </w:t>
      </w:r>
      <w:r w:rsidR="003E76B3" w:rsidRPr="002D28E4">
        <w:t>2.</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Code Commissioner's Note</w:t>
      </w:r>
    </w:p>
    <w:p w:rsidR="002D28E4" w:rsidRP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D28E4">
        <w:t>At the direction of the Code Commissioner, the reference in item (7) to 62</w:t>
      </w:r>
      <w:r w:rsidR="002D28E4" w:rsidRPr="002D28E4">
        <w:noBreakHyphen/>
      </w:r>
      <w:r w:rsidRPr="002D28E4">
        <w:t>7</w:t>
      </w:r>
      <w:r w:rsidR="002D28E4" w:rsidRPr="002D28E4">
        <w:noBreakHyphen/>
      </w:r>
      <w:r w:rsidRPr="002D28E4">
        <w:t>409 was changed to 62</w:t>
      </w:r>
      <w:r w:rsidR="002D28E4" w:rsidRPr="002D28E4">
        <w:noBreakHyphen/>
      </w:r>
      <w:r w:rsidRPr="002D28E4">
        <w:t>7</w:t>
      </w:r>
      <w:r w:rsidR="002D28E4" w:rsidRPr="002D28E4">
        <w:noBreakHyphen/>
      </w:r>
      <w:r w:rsidRPr="002D28E4">
        <w:t>909 to conform to the South Carolina Uniform Principal and Income Act of 2005.</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60.</w:t>
      </w:r>
      <w:r w:rsidR="003E76B3" w:rsidRPr="002D28E4">
        <w:t xml:space="preserve"> Effect of timing of creation of property interest; savings clause.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(A) Except as extended by subsection (B), this chapter applies to a nonvested property interest or a power of appointment that is created on or after July 1, 1987. For purposes of this section, a nonvested property interest or a power of appointment created by the exercise of a power of appointment is created when the power is irrevocably exercised or when a revocable exercise becomes irrevocable.</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 xml:space="preserve">(B) If a nonvested property interest or a power of appointment was created before July 1, 1987, and is determined in a judicial proceeding, commenced on or after July 1, 1987, to violate this State's rule against perpetuities as that rule existed before July 1, 1987, a court upon the petition of an interested person shall reform the disposition by inserting a savings clause that preserves most closely the transferor's plan of </w:t>
      </w:r>
      <w:r w:rsidRPr="002D28E4">
        <w:lastRenderedPageBreak/>
        <w:t>distribution and that brings that plan within the limits of the rule against perpetuities applicable when the nonvested property interest or power of appointment was created.</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70.</w:t>
      </w:r>
      <w:r w:rsidR="003E76B3" w:rsidRPr="002D28E4">
        <w:t xml:space="preserve"> Application and construction.</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This chapter shall be applied and construed to effectuate its general purpose to make uniform the law with respect to the subject of this chapter among states enacting it.</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E76B3" w:rsidRPr="002D28E4">
        <w:t xml:space="preserve">: 1987 Act No. 12, </w:t>
      </w:r>
      <w:r w:rsidRPr="002D28E4">
        <w:t xml:space="preserve">Section </w:t>
      </w:r>
      <w:r w:rsidR="003E76B3" w:rsidRPr="002D28E4">
        <w:t>1.</w:t>
      </w:r>
    </w:p>
    <w:p w:rsidR="002D28E4" w:rsidRP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rPr>
          <w:b/>
        </w:rPr>
        <w:t xml:space="preserve">SECTION </w:t>
      </w:r>
      <w:r w:rsidR="003E76B3" w:rsidRPr="002D28E4">
        <w:rPr>
          <w:b/>
        </w:rPr>
        <w:t>27</w:t>
      </w:r>
      <w:r w:rsidRPr="002D28E4">
        <w:rPr>
          <w:b/>
        </w:rPr>
        <w:noBreakHyphen/>
      </w:r>
      <w:r w:rsidR="003E76B3" w:rsidRPr="002D28E4">
        <w:rPr>
          <w:b/>
        </w:rPr>
        <w:t>6</w:t>
      </w:r>
      <w:r w:rsidRPr="002D28E4">
        <w:rPr>
          <w:b/>
        </w:rPr>
        <w:noBreakHyphen/>
      </w:r>
      <w:r w:rsidR="003E76B3" w:rsidRPr="002D28E4">
        <w:rPr>
          <w:b/>
        </w:rPr>
        <w:t>80.</w:t>
      </w:r>
      <w:r w:rsidR="003E76B3" w:rsidRPr="002D28E4">
        <w:t xml:space="preserve"> Effect on common law.</w:t>
      </w:r>
    </w:p>
    <w:p w:rsidR="002D28E4" w:rsidRDefault="003E76B3"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D28E4">
        <w:tab/>
        <w:t>This chapter supersedes the common law rule against perpetuities.</w:t>
      </w: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D28E4" w:rsidRDefault="002D28E4"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E76B3" w:rsidRPr="002D28E4">
        <w:t xml:space="preserve">: 1987 Act No. 12, </w:t>
      </w:r>
      <w:r w:rsidRPr="002D28E4">
        <w:t xml:space="preserve">Section </w:t>
      </w:r>
      <w:r w:rsidR="003E76B3" w:rsidRPr="002D28E4">
        <w:t>1.</w:t>
      </w:r>
    </w:p>
    <w:p w:rsidR="003C285A" w:rsidRPr="002D28E4" w:rsidRDefault="003C285A" w:rsidP="002D28E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D28E4" w:rsidSect="002D28E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D28E4" w:rsidRDefault="002D28E4" w:rsidP="002D28E4">
      <w:pPr>
        <w:spacing w:after="0" w:line="240" w:lineRule="auto"/>
      </w:pPr>
      <w:r>
        <w:separator/>
      </w:r>
    </w:p>
  </w:endnote>
  <w:endnote w:type="continuationSeparator" w:id="0">
    <w:p w:rsidR="002D28E4" w:rsidRDefault="002D28E4" w:rsidP="002D2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D28E4" w:rsidRDefault="002D28E4" w:rsidP="002D28E4">
      <w:pPr>
        <w:spacing w:after="0" w:line="240" w:lineRule="auto"/>
      </w:pPr>
      <w:r>
        <w:separator/>
      </w:r>
    </w:p>
  </w:footnote>
  <w:footnote w:type="continuationSeparator" w:id="0">
    <w:p w:rsidR="002D28E4" w:rsidRDefault="002D28E4" w:rsidP="002D2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D28E4" w:rsidRPr="002D28E4" w:rsidRDefault="002D28E4" w:rsidP="002D2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B3"/>
    <w:rsid w:val="000929E5"/>
    <w:rsid w:val="00197975"/>
    <w:rsid w:val="002C68C1"/>
    <w:rsid w:val="002D28E4"/>
    <w:rsid w:val="003C285A"/>
    <w:rsid w:val="003E76B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44C12F-694B-48BF-9A22-21B340C6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E7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6B3"/>
    <w:rPr>
      <w:rFonts w:eastAsiaTheme="majorEastAsia" w:cstheme="majorBidi"/>
      <w:color w:val="272727" w:themeColor="text1" w:themeTint="D8"/>
    </w:rPr>
  </w:style>
  <w:style w:type="paragraph" w:styleId="Title">
    <w:name w:val="Title"/>
    <w:basedOn w:val="Normal"/>
    <w:next w:val="Normal"/>
    <w:link w:val="TitleChar"/>
    <w:uiPriority w:val="10"/>
    <w:qFormat/>
    <w:rsid w:val="003E7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6B3"/>
    <w:pPr>
      <w:spacing w:before="160"/>
      <w:jc w:val="center"/>
    </w:pPr>
    <w:rPr>
      <w:i/>
      <w:iCs/>
      <w:color w:val="404040" w:themeColor="text1" w:themeTint="BF"/>
    </w:rPr>
  </w:style>
  <w:style w:type="character" w:customStyle="1" w:styleId="QuoteChar">
    <w:name w:val="Quote Char"/>
    <w:basedOn w:val="DefaultParagraphFont"/>
    <w:link w:val="Quote"/>
    <w:uiPriority w:val="29"/>
    <w:rsid w:val="003E76B3"/>
    <w:rPr>
      <w:i/>
      <w:iCs/>
      <w:color w:val="404040" w:themeColor="text1" w:themeTint="BF"/>
    </w:rPr>
  </w:style>
  <w:style w:type="paragraph" w:styleId="ListParagraph">
    <w:name w:val="List Paragraph"/>
    <w:basedOn w:val="Normal"/>
    <w:uiPriority w:val="34"/>
    <w:qFormat/>
    <w:rsid w:val="003E76B3"/>
    <w:pPr>
      <w:ind w:left="720"/>
      <w:contextualSpacing/>
    </w:pPr>
  </w:style>
  <w:style w:type="character" w:styleId="IntenseEmphasis">
    <w:name w:val="Intense Emphasis"/>
    <w:basedOn w:val="DefaultParagraphFont"/>
    <w:uiPriority w:val="21"/>
    <w:qFormat/>
    <w:rsid w:val="003E76B3"/>
    <w:rPr>
      <w:i/>
      <w:iCs/>
      <w:color w:val="0F4761" w:themeColor="accent1" w:themeShade="BF"/>
    </w:rPr>
  </w:style>
  <w:style w:type="paragraph" w:styleId="IntenseQuote">
    <w:name w:val="Intense Quote"/>
    <w:basedOn w:val="Normal"/>
    <w:next w:val="Normal"/>
    <w:link w:val="IntenseQuoteChar"/>
    <w:uiPriority w:val="30"/>
    <w:qFormat/>
    <w:rsid w:val="003E7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6B3"/>
    <w:rPr>
      <w:i/>
      <w:iCs/>
      <w:color w:val="0F4761" w:themeColor="accent1" w:themeShade="BF"/>
    </w:rPr>
  </w:style>
  <w:style w:type="character" w:styleId="IntenseReference">
    <w:name w:val="Intense Reference"/>
    <w:basedOn w:val="DefaultParagraphFont"/>
    <w:uiPriority w:val="32"/>
    <w:qFormat/>
    <w:rsid w:val="003E76B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E7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E76B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D2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8E4"/>
    <w:rPr>
      <w:rFonts w:ascii="Times New Roman" w:hAnsi="Times New Roman" w:cs="Times New Roman"/>
      <w:kern w:val="0"/>
      <w14:ligatures w14:val="none"/>
    </w:rPr>
  </w:style>
  <w:style w:type="paragraph" w:styleId="Footer">
    <w:name w:val="footer"/>
    <w:basedOn w:val="Normal"/>
    <w:link w:val="FooterChar"/>
    <w:uiPriority w:val="99"/>
    <w:unhideWhenUsed/>
    <w:rsid w:val="002D2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8E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1171</Words>
  <Characters>6678</Characters>
  <Application>Microsoft Office Word</Application>
  <DocSecurity>0</DocSecurity>
  <Lines>55</Lines>
  <Paragraphs>15</Paragraphs>
  <ScaleCrop>false</ScaleCrop>
  <Company>Legislative Services Agency</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