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583D">
        <w:t>CHAPTER 15</w:t>
      </w:r>
    </w:p>
    <w:p w:rsidR="003B583D" w:rsidRP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583D">
        <w:t>Feeding of Garbage to Swine</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10.</w:t>
      </w:r>
      <w:r w:rsidR="009C7565" w:rsidRPr="003B583D">
        <w:t xml:space="preserve"> Definitions.</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As used in this chapter:</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 "Garbage" means any animal wastes resulting from handling, preparation, cooking, or consumption of foods, including animal carcasses, parts of animal carcasses, or contents of offal. Unpasteurized milk and unpasteurized milk products are animal waste.</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(b) "Person" means the State, any municipality, political subdivision, institution, public or private corporation, individual, partnership, or any other entity.</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(c) "Garbage dump" means a place or area where ordinary household garbage is disposed of from two or more families.</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 xml:space="preserve">521; 1970 (56) 2562; 2000 Act No. 290, </w:t>
      </w:r>
      <w:r w:rsidRPr="003B583D">
        <w:t xml:space="preserve">Section </w:t>
      </w:r>
      <w:r w:rsidR="009C7565" w:rsidRPr="003B583D">
        <w:t>6, eff May 19, 2000.</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20.</w:t>
      </w:r>
      <w:r w:rsidR="009C7565" w:rsidRPr="003B583D">
        <w:t xml:space="preserve"> Unlawful to feed garbage to swine.</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It shall be unlawful for any person to feed garbage to swine.</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522; 1970 (56) 2562.</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30.</w:t>
      </w:r>
      <w:r w:rsidR="009C7565" w:rsidRPr="003B583D">
        <w:t xml:space="preserve"> Unlawful to sell hogs consuming garbage; unlawful to permit hogs on garbage dumps.</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 It shall be unlawful for anyone to sell or offer for sale hogs which have consumed any garbage within a period of thirty days prior to date of sale.</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(b) It shall be unlawful for any person to permit hogs on any garbage dump.</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526; 1970 (56) 2562.</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40.</w:t>
      </w:r>
      <w:r w:rsidR="009C7565" w:rsidRPr="003B583D">
        <w:t xml:space="preserve"> Notification required from certain persons disposing of garbage.</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Any person who sells, gives away or otherwise disposes of garbage to any person, except those persons whose garbage is collected by municipalities or persons who have a permit to collect garbage or to those who sell, give away or otherwise dispose of their ordinary household garbage, shall notify the State Livestock</w:t>
      </w:r>
      <w:r w:rsidR="003B583D" w:rsidRPr="003B583D">
        <w:noBreakHyphen/>
      </w:r>
      <w:r w:rsidRPr="003B583D">
        <w:t>Poultry Health Commission, giving the name and address of the person who obtained the garbage.</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 xml:space="preserve">523; 1970 (56) 2562; 1994 Act No. 362, </w:t>
      </w:r>
      <w:r w:rsidRPr="003B583D">
        <w:t xml:space="preserve">Section </w:t>
      </w:r>
      <w:r w:rsidR="009C7565" w:rsidRPr="003B583D">
        <w:t>31, eff May 3, 1994.</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50.</w:t>
      </w:r>
      <w:r w:rsidR="009C7565" w:rsidRPr="003B583D">
        <w:t xml:space="preserve"> Inspection of premises where swine are kept.</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Any authorized representative of the State Livestock</w:t>
      </w:r>
      <w:r w:rsidR="003B583D" w:rsidRPr="003B583D">
        <w:noBreakHyphen/>
      </w:r>
      <w:r w:rsidRPr="003B583D">
        <w:t>Poultry Health Commission is authorized to enter at reasonable times upon any private or public property where swine are kept for the purpose of inspecting and investigating conditions relating to the feeding of garbage to swine.</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 xml:space="preserve">524; 1970 (56) 2562; 1994 Act No. 362, </w:t>
      </w:r>
      <w:r w:rsidRPr="003B583D">
        <w:t xml:space="preserve">Section </w:t>
      </w:r>
      <w:r w:rsidR="009C7565" w:rsidRPr="003B583D">
        <w:t>31, eff May 3, 1994.</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60.</w:t>
      </w:r>
      <w:r w:rsidR="009C7565" w:rsidRPr="003B583D">
        <w:t xml:space="preserve"> Exemptions.</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This chapter shall not apply to any person who feeds his own household garbage to swine, except that no person shall sell or offer for sale any hogs which have consumed any garbage within thirty days of sale.</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528; 1970 (56) 2562.</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70.</w:t>
      </w:r>
      <w:r w:rsidR="009C7565" w:rsidRPr="003B583D">
        <w:t xml:space="preserve"> Administration and enforcement.</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lastRenderedPageBreak/>
        <w:tab/>
        <w:t>The State Livestock</w:t>
      </w:r>
      <w:r w:rsidR="003B583D" w:rsidRPr="003B583D">
        <w:noBreakHyphen/>
      </w:r>
      <w:r w:rsidRPr="003B583D">
        <w:t>Poultry Health Commission is charged with administration and enforcement of this chapter in accordance with the terms of this chapter and Chapter 4 of Title 47.</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C7565" w:rsidRPr="003B583D">
        <w:t xml:space="preserve">: 1962 Code </w:t>
      </w:r>
      <w:r w:rsidRPr="003B583D">
        <w:t xml:space="preserve">Section </w:t>
      </w:r>
      <w:r w:rsidR="009C7565" w:rsidRPr="003B583D">
        <w:t>6</w:t>
      </w:r>
      <w:r w:rsidRPr="003B583D">
        <w:noBreakHyphen/>
      </w:r>
      <w:r w:rsidR="009C7565" w:rsidRPr="003B583D">
        <w:t xml:space="preserve">525; 1970 (56) 2562; 1994 Act No. 362, </w:t>
      </w:r>
      <w:r w:rsidRPr="003B583D">
        <w:t xml:space="preserve">Section </w:t>
      </w:r>
      <w:r w:rsidR="009C7565" w:rsidRPr="003B583D">
        <w:t>22, eff May 3, 1994.</w:t>
      </w:r>
    </w:p>
    <w:p w:rsidR="003B583D" w:rsidRP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rPr>
          <w:b/>
        </w:rPr>
        <w:t xml:space="preserve">SECTION </w:t>
      </w:r>
      <w:r w:rsidR="009C7565" w:rsidRPr="003B583D">
        <w:rPr>
          <w:b/>
        </w:rPr>
        <w:t>47</w:t>
      </w:r>
      <w:r w:rsidRPr="003B583D">
        <w:rPr>
          <w:b/>
        </w:rPr>
        <w:noBreakHyphen/>
      </w:r>
      <w:r w:rsidR="009C7565" w:rsidRPr="003B583D">
        <w:rPr>
          <w:b/>
        </w:rPr>
        <w:t>15</w:t>
      </w:r>
      <w:r w:rsidRPr="003B583D">
        <w:rPr>
          <w:b/>
        </w:rPr>
        <w:noBreakHyphen/>
      </w:r>
      <w:r w:rsidR="009C7565" w:rsidRPr="003B583D">
        <w:rPr>
          <w:b/>
        </w:rPr>
        <w:t>80.</w:t>
      </w:r>
      <w:r w:rsidR="009C7565" w:rsidRPr="003B583D">
        <w:t xml:space="preserve"> Penalties; injunctions.</w:t>
      </w:r>
    </w:p>
    <w:p w:rsidR="003B583D" w:rsidRDefault="009C7565"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583D">
        <w:tab/>
        <w:t>A person who violates this chapter or regulations promulgated under it is guilty of a misdemeanor and, upon conviction, must be punished in accordance with Section 47</w:t>
      </w:r>
      <w:r w:rsidR="003B583D" w:rsidRPr="003B583D">
        <w:noBreakHyphen/>
      </w:r>
      <w:r w:rsidRPr="003B583D">
        <w:t>4</w:t>
      </w:r>
      <w:r w:rsidR="003B583D" w:rsidRPr="003B583D">
        <w:noBreakHyphen/>
      </w:r>
      <w:r w:rsidRPr="003B583D">
        <w:t>130. The person may be enjoined from continuing the violation. Each day on which a violation occurs constitutes a separate violation.</w:t>
      </w: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583D" w:rsidRDefault="003B583D"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C7565" w:rsidRPr="003B583D">
        <w:t xml:space="preserve">: 1962 Code </w:t>
      </w:r>
      <w:r w:rsidRPr="003B583D">
        <w:t xml:space="preserve">Section </w:t>
      </w:r>
      <w:r w:rsidR="009C7565" w:rsidRPr="003B583D">
        <w:t>6</w:t>
      </w:r>
      <w:r w:rsidRPr="003B583D">
        <w:noBreakHyphen/>
      </w:r>
      <w:r w:rsidR="009C7565" w:rsidRPr="003B583D">
        <w:t xml:space="preserve">527; 1970 (56) 2562; 1994 Act No. 362, </w:t>
      </w:r>
      <w:r w:rsidRPr="003B583D">
        <w:t xml:space="preserve">Section </w:t>
      </w:r>
      <w:r w:rsidR="009C7565" w:rsidRPr="003B583D">
        <w:t>23, eff May 3, 1994.</w:t>
      </w:r>
    </w:p>
    <w:p w:rsidR="003C285A" w:rsidRPr="003B583D" w:rsidRDefault="003C285A" w:rsidP="003B583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583D" w:rsidSect="003B583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583D" w:rsidRDefault="003B583D" w:rsidP="003B583D">
      <w:pPr>
        <w:spacing w:after="0" w:line="240" w:lineRule="auto"/>
      </w:pPr>
      <w:r>
        <w:separator/>
      </w:r>
    </w:p>
  </w:endnote>
  <w:endnote w:type="continuationSeparator" w:id="0">
    <w:p w:rsidR="003B583D" w:rsidRDefault="003B583D" w:rsidP="003B5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583D" w:rsidRDefault="003B583D" w:rsidP="003B583D">
      <w:pPr>
        <w:spacing w:after="0" w:line="240" w:lineRule="auto"/>
      </w:pPr>
      <w:r>
        <w:separator/>
      </w:r>
    </w:p>
  </w:footnote>
  <w:footnote w:type="continuationSeparator" w:id="0">
    <w:p w:rsidR="003B583D" w:rsidRDefault="003B583D" w:rsidP="003B5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583D" w:rsidRPr="003B583D" w:rsidRDefault="003B583D" w:rsidP="003B58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65"/>
    <w:rsid w:val="000929E5"/>
    <w:rsid w:val="00197975"/>
    <w:rsid w:val="002C68C1"/>
    <w:rsid w:val="003B583D"/>
    <w:rsid w:val="003C285A"/>
    <w:rsid w:val="00514D67"/>
    <w:rsid w:val="00700E5B"/>
    <w:rsid w:val="007248EF"/>
    <w:rsid w:val="00892412"/>
    <w:rsid w:val="00984CB8"/>
    <w:rsid w:val="009B3280"/>
    <w:rsid w:val="009C7565"/>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98CE9-169B-4506-B6E6-108185F38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C7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565"/>
    <w:rPr>
      <w:rFonts w:eastAsiaTheme="majorEastAsia" w:cstheme="majorBidi"/>
      <w:color w:val="272727" w:themeColor="text1" w:themeTint="D8"/>
    </w:rPr>
  </w:style>
  <w:style w:type="paragraph" w:styleId="Title">
    <w:name w:val="Title"/>
    <w:basedOn w:val="Normal"/>
    <w:next w:val="Normal"/>
    <w:link w:val="TitleChar"/>
    <w:uiPriority w:val="10"/>
    <w:qFormat/>
    <w:rsid w:val="009C7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565"/>
    <w:pPr>
      <w:spacing w:before="160"/>
      <w:jc w:val="center"/>
    </w:pPr>
    <w:rPr>
      <w:i/>
      <w:iCs/>
      <w:color w:val="404040" w:themeColor="text1" w:themeTint="BF"/>
    </w:rPr>
  </w:style>
  <w:style w:type="character" w:customStyle="1" w:styleId="QuoteChar">
    <w:name w:val="Quote Char"/>
    <w:basedOn w:val="DefaultParagraphFont"/>
    <w:link w:val="Quote"/>
    <w:uiPriority w:val="29"/>
    <w:rsid w:val="009C7565"/>
    <w:rPr>
      <w:i/>
      <w:iCs/>
      <w:color w:val="404040" w:themeColor="text1" w:themeTint="BF"/>
    </w:rPr>
  </w:style>
  <w:style w:type="paragraph" w:styleId="ListParagraph">
    <w:name w:val="List Paragraph"/>
    <w:basedOn w:val="Normal"/>
    <w:uiPriority w:val="34"/>
    <w:qFormat/>
    <w:rsid w:val="009C7565"/>
    <w:pPr>
      <w:ind w:left="720"/>
      <w:contextualSpacing/>
    </w:pPr>
  </w:style>
  <w:style w:type="character" w:styleId="IntenseEmphasis">
    <w:name w:val="Intense Emphasis"/>
    <w:basedOn w:val="DefaultParagraphFont"/>
    <w:uiPriority w:val="21"/>
    <w:qFormat/>
    <w:rsid w:val="009C7565"/>
    <w:rPr>
      <w:i/>
      <w:iCs/>
      <w:color w:val="0F4761" w:themeColor="accent1" w:themeShade="BF"/>
    </w:rPr>
  </w:style>
  <w:style w:type="paragraph" w:styleId="IntenseQuote">
    <w:name w:val="Intense Quote"/>
    <w:basedOn w:val="Normal"/>
    <w:next w:val="Normal"/>
    <w:link w:val="IntenseQuoteChar"/>
    <w:uiPriority w:val="30"/>
    <w:qFormat/>
    <w:rsid w:val="009C7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565"/>
    <w:rPr>
      <w:i/>
      <w:iCs/>
      <w:color w:val="0F4761" w:themeColor="accent1" w:themeShade="BF"/>
    </w:rPr>
  </w:style>
  <w:style w:type="character" w:styleId="IntenseReference">
    <w:name w:val="Intense Reference"/>
    <w:basedOn w:val="DefaultParagraphFont"/>
    <w:uiPriority w:val="32"/>
    <w:qFormat/>
    <w:rsid w:val="009C75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C7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C75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5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3D"/>
    <w:rPr>
      <w:rFonts w:ascii="Times New Roman" w:hAnsi="Times New Roman" w:cs="Times New Roman"/>
      <w:kern w:val="0"/>
      <w14:ligatures w14:val="none"/>
    </w:rPr>
  </w:style>
  <w:style w:type="paragraph" w:styleId="Footer">
    <w:name w:val="footer"/>
    <w:basedOn w:val="Normal"/>
    <w:link w:val="FooterChar"/>
    <w:uiPriority w:val="99"/>
    <w:unhideWhenUsed/>
    <w:rsid w:val="003B5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83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2888</Characters>
  <Application>Microsoft Office Word</Application>
  <DocSecurity>0</DocSecurity>
  <Lines>24</Lines>
  <Paragraphs>6</Paragraphs>
  <ScaleCrop>false</ScaleCrop>
  <Company>Legislative Services Agency</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