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ae5c7ae8b9814d06" /><Relationship Type="http://schemas.openxmlformats.org/package/2006/relationships/metadata/core-properties" Target="/package/services/metadata/core-properties/becb68c68686491493b4821edeaedc68.psmdcp" Id="R265706180547404f" /></Relationships>
</file>

<file path=word/document.xml><?xml version="1.0" encoding="utf-8"?>
<w:document xmlns:w="http://schemas.openxmlformats.org/wordprocessingml/2006/main">
  <w:body>
    <w:p xmlns:w14="http://schemas.microsoft.com/office/word/2010/wordml" w:rsidR="00CE068A" w:rsidRDefault="00CE068A" w14:paraId="16AB0DA2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19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E068A" w:rsidRDefault="00CE068A" w14:paraId="0C87BF4F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Merit System for State-Aided Agencies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E068A" w:rsidRDefault="00CE068A" w14:paraId="2AFDA13A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CE068A" w:rsidRDefault="00CE068A" w14:paraId="74E6C5C2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8-19-15. Establishment of merit principles for personnel administration.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:rsidR="00CE068A" w:rsidRDefault="00CE068A" w14:paraId="2A66362B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>A grant-in-aid agency required by federal law to operate under merit principles in the administration of its personnel programs as a condition of receiving federal grants, shall establish those policies and procedures necessary to assure compliance with the federal merit principles requirements.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27C78F37" w14:textId="77777777">
      <w:pPr>
        <w:spacing w:before="0" w:after="0" w:line="240" w:lineRule="auto"/>
      </w:pPr>
      <w:r>
        <w:t/>
      </w:r>
    </w:p>
    <w:p xmlns:w14="http://schemas.microsoft.com/office/word/2010/wordml" w:rsidR="00CE068A" w:rsidRDefault="00CE068A" w14:paraId="516D416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1999 Act No. 100, Part II, § 33, eff July 1, 1999.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