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20140">
        <w:t>CHAPTER 29</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20140">
        <w:t>Department of Labor, Licensing and Regulation— State Licensing Board for Contractors</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520140">
        <w:t xml:space="preserve">: 1976 Code Sections </w:t>
      </w:r>
      <w:r w:rsidRPr="00520140">
        <w:t xml:space="preserve"> 40</w:t>
      </w:r>
      <w:r>
        <w:t>-</w:t>
      </w:r>
      <w:r w:rsidRPr="00520140">
        <w:t>1</w:t>
      </w:r>
      <w:r>
        <w:t>-</w:t>
      </w:r>
      <w:r w:rsidRPr="00520140">
        <w:t>50, 40</w:t>
      </w:r>
      <w:r>
        <w:t>-</w:t>
      </w:r>
      <w:r w:rsidRPr="00520140">
        <w:t>1</w:t>
      </w:r>
      <w:r>
        <w:t>-</w:t>
      </w:r>
      <w:r w:rsidRPr="00520140">
        <w:t>70, and Chapter 11 of Title 40)</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520140">
        <w:t xml:space="preserve"> 1</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20140">
        <w:t>General Rules and By</w:t>
      </w:r>
      <w:r>
        <w:t>-</w:t>
      </w:r>
      <w:r w:rsidRPr="00520140">
        <w:t>laws</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140">
        <w:t>29</w:t>
      </w:r>
      <w:r>
        <w:t>-</w:t>
      </w:r>
      <w:r w:rsidRPr="00520140">
        <w:t>1. Examination Requirements; Classifications.</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140">
        <w:tab/>
        <w:t>The following classifications require passage of a technical examination, approved by the board:</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140">
        <w:tab/>
      </w:r>
      <w:r w:rsidRPr="00520140">
        <w:tab/>
        <w:t>(1) building:</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140">
        <w:tab/>
      </w:r>
      <w:r w:rsidRPr="00520140">
        <w:tab/>
      </w:r>
      <w:r w:rsidRPr="00520140">
        <w:tab/>
        <w:t>(a) limited building contractor examination, license groups one, two, and three;</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140">
        <w:tab/>
      </w:r>
      <w:r w:rsidRPr="00520140">
        <w:tab/>
      </w:r>
      <w:r w:rsidRPr="00520140">
        <w:tab/>
        <w:t>(b) commercial building contractor examination, license groups four and five;</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140">
        <w:tab/>
      </w:r>
      <w:r w:rsidRPr="00520140">
        <w:tab/>
        <w:t>(2) bridges;</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140">
        <w:tab/>
      </w:r>
      <w:r w:rsidRPr="00520140">
        <w:tab/>
        <w:t>(3) grading;</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140">
        <w:tab/>
      </w:r>
      <w:r w:rsidRPr="00520140">
        <w:tab/>
        <w:t>(4) asphalt paving;</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140">
        <w:tab/>
      </w:r>
      <w:r w:rsidRPr="00520140">
        <w:tab/>
        <w:t>(5) concrete paving;</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140">
        <w:tab/>
      </w:r>
      <w:r w:rsidRPr="00520140">
        <w:tab/>
        <w:t>(6) concrete;</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140">
        <w:tab/>
      </w:r>
      <w:r w:rsidRPr="00520140">
        <w:tab/>
        <w:t>(7) nonstructural renovation;</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140">
        <w:tab/>
      </w:r>
      <w:r w:rsidRPr="00520140">
        <w:tab/>
        <w:t>(8) marine;</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140">
        <w:tab/>
      </w:r>
      <w:r w:rsidRPr="00520140">
        <w:tab/>
        <w:t>(9) pre</w:t>
      </w:r>
      <w:r>
        <w:t>-</w:t>
      </w:r>
      <w:r w:rsidRPr="00520140">
        <w:t>engineered metal buildings;</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140">
        <w:tab/>
      </w:r>
      <w:r w:rsidRPr="00520140">
        <w:tab/>
        <w:t>(10) public utility electrical;</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140">
        <w:tab/>
      </w:r>
      <w:r w:rsidRPr="00520140">
        <w:tab/>
        <w:t>(11) structural framing;</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140">
        <w:tab/>
      </w:r>
      <w:r w:rsidRPr="00520140">
        <w:tab/>
        <w:t>(12) general roofing;</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140">
        <w:tab/>
      </w:r>
      <w:r w:rsidRPr="00520140">
        <w:tab/>
        <w:t>(13) swimming pools;</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140">
        <w:tab/>
      </w:r>
      <w:r w:rsidRPr="00520140">
        <w:tab/>
        <w:t>(14) wood frame structures;</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140">
        <w:tab/>
      </w:r>
      <w:r w:rsidRPr="00520140">
        <w:tab/>
        <w:t>(15) pipe lines;</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140">
        <w:tab/>
      </w:r>
      <w:r w:rsidRPr="00520140">
        <w:tab/>
        <w:t>(16) water and sewer lines;</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140">
        <w:tab/>
      </w:r>
      <w:r w:rsidRPr="00520140">
        <w:tab/>
        <w:t>(17) water and sewer plants;</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140">
        <w:tab/>
      </w:r>
      <w:r w:rsidRPr="00520140">
        <w:tab/>
        <w:t>(18) packaged equipment;</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140">
        <w:tab/>
      </w:r>
      <w:r w:rsidRPr="00520140">
        <w:tab/>
        <w:t>(19) air conditioning;</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140">
        <w:tab/>
      </w:r>
      <w:r w:rsidRPr="00520140">
        <w:tab/>
        <w:t>(20) electrical;</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140">
        <w:tab/>
      </w:r>
      <w:r w:rsidRPr="00520140">
        <w:tab/>
        <w:t>(21) heating;</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140">
        <w:tab/>
      </w:r>
      <w:r w:rsidRPr="00520140">
        <w:tab/>
        <w:t>(22) lightning protection systems;</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140">
        <w:tab/>
      </w:r>
      <w:r w:rsidRPr="00520140">
        <w:tab/>
        <w:t>(23) plumbing;</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140">
        <w:tab/>
      </w:r>
      <w:r w:rsidRPr="00520140">
        <w:tab/>
        <w:t>(24) pressure and process piping;</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140">
        <w:tab/>
      </w:r>
      <w:r w:rsidRPr="00520140">
        <w:tab/>
        <w:t>(25) refrigeration;</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140">
        <w:tab/>
      </w:r>
      <w:r w:rsidRPr="00520140">
        <w:tab/>
        <w:t>(26) boilers;</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140">
        <w:tab/>
      </w:r>
      <w:r w:rsidRPr="00520140">
        <w:tab/>
      </w:r>
      <w:r w:rsidRPr="00520140">
        <w:t>(27) such other classifications as the board may designate.</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0140">
        <w:t>: Amended by State Register Volume 12, Issue No. 5, eff May 27, 1988; State Register Volume 23, Issue No. 6, eff June 25, 1999; State Register Volume 24, Issue No. 5, eff May 26, 2000; SCSR 48</w:t>
      </w:r>
      <w:r>
        <w:t>-</w:t>
      </w:r>
      <w:r w:rsidRPr="00520140">
        <w:t>5 Doc. No. 5244, eff May 24, 2024.</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140">
        <w:t>29</w:t>
      </w:r>
      <w:r>
        <w:t>-</w:t>
      </w:r>
      <w:r w:rsidRPr="00520140">
        <w:t>2. Repealed.</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0140">
        <w:t>: Former Regulation, titled Group One Licensure Requirements, had the following history: Amended by State Register Volume 12, Issue No. 5, eff May 27, 1988; State Register Volume 23, Issue No. 6, eff June 25, 1999; State Register Volume 36, Issue No. 6, eff June 22, 2012. Repealed by SCSR 44</w:t>
      </w:r>
      <w:r>
        <w:t>-</w:t>
      </w:r>
      <w:r w:rsidRPr="00520140">
        <w:t>2 Doc. No. 4848, eff February 28, 2020.</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140">
        <w:t>29</w:t>
      </w:r>
      <w:r>
        <w:t>-</w:t>
      </w:r>
      <w:r w:rsidRPr="00520140">
        <w:t>3. Financial Statements.</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140">
        <w:tab/>
        <w:t>(A) Where an applicant is required to have a financial statement submitted by a certified public accountant, the board may accept a financial statement based on “</w:t>
      </w:r>
      <w:r w:rsidRPr="00520140">
        <w:t xml:space="preserve">Other Comprehensive Basis of </w:t>
      </w:r>
      <w:r w:rsidRPr="00520140">
        <w:lastRenderedPageBreak/>
        <w:t>Accounting”</w:t>
      </w:r>
      <w:r w:rsidRPr="00520140">
        <w:t xml:space="preserve"> (OCBOA) or on an accepted international accounting standard, only if the certified public accountant expressly indicates in the financial statement that the financial requirements for licensure would be met if the financial statement had been prepared according to “</w:t>
      </w:r>
      <w:r w:rsidRPr="00520140">
        <w:t>General Accepted Accounting Principles”</w:t>
      </w:r>
      <w:r w:rsidRPr="00520140">
        <w:t xml:space="preserve"> (GAAP).</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140">
        <w:tab/>
        <w:t>(B) Financial statements must be submitted in English.</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140">
        <w:tab/>
        <w:t>(C) The board may accept a financial statement based upon a foreign currency if the applicant provides adequate documentation that shows the net worth or working capital of the company, converted to United States dollars, meets or exceeds the net worth or working capital and other financial requirements of the appropriate license group in which the applicant is applying.</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140">
        <w:tab/>
        <w:t>(D) Owner</w:t>
      </w:r>
      <w:r>
        <w:t>-</w:t>
      </w:r>
      <w:r w:rsidRPr="00520140">
        <w:t>prepared financial statements must be submitted on the form prescribed by the board. The Department will furnish this form to all applicants for initial licensing or renewal in the applicable group limitations. The form must contain assets, liabilities and total net worth or working capital of the licensee. Internal balance sheets or ledgers are not acceptable forms of financial documentation.</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0140">
        <w:t>: Amended by State Register Volume 7, Issue No. 6, eff June 24, 1983; State Register Volume 9, Issue No. 2, eff February 22, 1985; State Register Volume 26, Issue No. 6, eff June 25, 1999; State Register Volume 36, Issue No. 6, eff June 22, 2012; SCSR 44</w:t>
      </w:r>
      <w:r>
        <w:t>-</w:t>
      </w:r>
      <w:r w:rsidRPr="00520140">
        <w:t>2 Doc. No. 4848, eff February 28, 2020; SCSR 48</w:t>
      </w:r>
      <w:r>
        <w:t>-</w:t>
      </w:r>
      <w:r w:rsidRPr="00520140">
        <w:t>5 Doc. No. 5244, eff May 24, 2024.</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140">
        <w:t>29</w:t>
      </w:r>
      <w:r>
        <w:t>-</w:t>
      </w:r>
      <w:r w:rsidRPr="00520140">
        <w:t>4. Repealed.</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0140">
        <w:t>: Former Regulation, titled Inactive License, had the following history: Amended by State Register Volume 7, Issue No. 6, eff June 24, 1983; State Register Volume 9, Issue No. 2, eff February 22, 1985; State Register Volume 12, Issue No. 5, eff May 27, 1988; State Register Volume 14, Issue No. 6, eff June 22, 1990; State Register Volume 21, Issue No. 6, Part 2, eff June 27, 1997; State Register Volume 26, Issue No. 6, eff June 25, 1999. Repealed by SCSR 44</w:t>
      </w:r>
      <w:r>
        <w:t>-</w:t>
      </w:r>
      <w:r w:rsidRPr="00520140">
        <w:t>2 Doc. No. 4848, eff February 28, 2020.</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140">
        <w:t>29</w:t>
      </w:r>
      <w:r>
        <w:t>-</w:t>
      </w:r>
      <w:r w:rsidRPr="00520140">
        <w:t>5. Construction Management Licensure Requirements.</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140">
        <w:tab/>
        <w:t>(A) An architectural or engineering entity acting as a construction manager shall file an application with the department designating one professional license of a full</w:t>
      </w:r>
      <w:r>
        <w:t>-</w:t>
      </w:r>
      <w:r w:rsidRPr="00520140">
        <w:t>time employee employed by the entity to qualify the entity for the practice of construction management pursuant to Section 40</w:t>
      </w:r>
      <w:r>
        <w:t>-</w:t>
      </w:r>
      <w:r w:rsidRPr="00520140">
        <w:t>11</w:t>
      </w:r>
      <w:r>
        <w:t>-</w:t>
      </w:r>
      <w:r w:rsidRPr="00520140">
        <w:t>320.</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140">
        <w:tab/>
      </w:r>
      <w:r w:rsidRPr="00520140">
        <w:tab/>
        <w:t>(1) The application shall ask the department to list the entity as a construction manager. The application shall include the following: the applicant’</w:t>
      </w:r>
      <w:r w:rsidRPr="00520140">
        <w:t>s name and license number to be listed as a construction manager; the name should be the exact name used by the applicant when conducting business on a daily basis; list the type of license and license number of the employee qualifying the entity as a construction manager.</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140">
        <w:tab/>
      </w:r>
      <w:r w:rsidRPr="00520140">
        <w:tab/>
        <w:t>(2) The entity requesting to act as a construction manager shall submit a financial statement meeting the requirements of Section 40</w:t>
      </w:r>
      <w:r>
        <w:t>-</w:t>
      </w:r>
      <w:r w:rsidRPr="00520140">
        <w:t>11</w:t>
      </w:r>
      <w:r>
        <w:t>-</w:t>
      </w:r>
      <w:r w:rsidRPr="00520140">
        <w:t>260 or a surety bond meeting the requirements of Section 40</w:t>
      </w:r>
      <w:r>
        <w:t>-</w:t>
      </w:r>
      <w:r w:rsidRPr="00520140">
        <w:t>11</w:t>
      </w:r>
      <w:r>
        <w:t>-</w:t>
      </w:r>
      <w:r w:rsidRPr="00520140">
        <w:t>262 with the application.</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140">
        <w:tab/>
        <w:t>(B) A general or mechanical contractor acting as a construction manager shall file an application with the department designating one of their primary qualifying parties as the employee that will qualify the entity for the practice of construction management. The entity shall comply with the other requirements of this regulation.</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0140">
        <w:t>: Amended by State Register Volume 9, Issue No. 2, eff February 22, 1985; State Register Volume 14, Issue No. 6, June 22, 1990; State Register Volume 19, Issue No. 4, eff April 28, 1995; State Register Volume 21, Issue No. 6, Part 2, eff June 27, 1997; State Register Volume 23, Issue No. 6, eff June 25, 1999; SCSR 44</w:t>
      </w:r>
      <w:r>
        <w:t>-</w:t>
      </w:r>
      <w:r w:rsidRPr="00520140">
        <w:t>2 Doc. No. 4848, eff February 28, 2020; SCSR 48</w:t>
      </w:r>
      <w:r>
        <w:t>-</w:t>
      </w:r>
      <w:r w:rsidRPr="00520140">
        <w:t>5 Doc. No. 5244, eff May 24, 2024.</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140">
        <w:t>29</w:t>
      </w:r>
      <w:r>
        <w:t>-</w:t>
      </w:r>
      <w:r w:rsidRPr="00520140">
        <w:t>6. Repealed.</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0140">
        <w:t>: Former Regulation, titled Residential Construction Licensure Requirements, had the following history: Amended by State Register Volume 23, Issue No. 6, eff June 25, 1999; State Register Volume 36, Issue No. 6, eff June 22, 2012. Repealed by SCSR 44</w:t>
      </w:r>
      <w:r>
        <w:t>-</w:t>
      </w:r>
      <w:r w:rsidRPr="00520140">
        <w:t>2 Doc. No. 4848, eff February 28, 2020.</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140">
        <w:t>29</w:t>
      </w:r>
      <w:r>
        <w:t>-</w:t>
      </w:r>
      <w:r w:rsidRPr="00520140">
        <w:t>7. Fees.</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140">
        <w:tab/>
        <w:t>(A) Fees shall be as specified in Chapter 10 of the Code of Regulations or as may be modified in accordance with law.</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140">
        <w:tab/>
        <w:t>(B) Fees, except replacement fees, may be adjusted on a biennial basis as appropriate.</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0140">
        <w:t>: Amended by State Register Volume 7, Issue No. 6, eff June 24, 1983; State Register Volume 14, Issue No. 6, eff June 22, 1990; State Register Volume 23, Issue No. 6, eff June 25, 1999; SCSR 44</w:t>
      </w:r>
      <w:r>
        <w:t>-</w:t>
      </w:r>
      <w:r w:rsidRPr="00520140">
        <w:t>2 Doc. No. 4848, eff February 28, 2020.</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140">
        <w:t>29</w:t>
      </w:r>
      <w:r>
        <w:t>-</w:t>
      </w:r>
      <w:r w:rsidRPr="00520140">
        <w:t>8. Administrative Penalties.</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140">
        <w:tab/>
        <w:t>Administrative penalties assessed pursuant to a citation under Section 40</w:t>
      </w:r>
      <w:r>
        <w:t>-</w:t>
      </w:r>
      <w:r w:rsidRPr="00520140">
        <w:t>11</w:t>
      </w:r>
      <w:r>
        <w:t>-</w:t>
      </w:r>
      <w:r w:rsidRPr="00520140">
        <w:t>100 shall be for the following:</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140">
        <w:tab/>
        <w:t>(A) entering into a contract with an unlicensed contractor for work to be performed for which a license is required; or</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140">
        <w:tab/>
        <w:t>(B) failure to obtain a building permit as required by a local or state government before engaging in construction; or</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140">
        <w:tab/>
        <w:t>(C) failure to provide information, records, or documents as requested by the department; or</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140">
        <w:tab/>
        <w:t>(D) failure to notify the department of changes in information required in an original or renewal application; or</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140">
        <w:tab/>
        <w:t>(E) contracting or offering to contract for construction work exceeding the limitations of a license group or outside the classification or subclassification of a license; or</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140">
        <w:tab/>
        <w:t>(F) engaging or offering to engage in contracting without a valid license as required under this chapter; or</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140">
        <w:tab/>
        <w:t>(G) submitting a bid without a valid license when one is required by law; or</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140">
        <w:tab/>
        <w:t>(H) awarding or accepting a bid or signing a contract for a project when the contractor is not properly licensed; or</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140">
        <w:tab/>
        <w:t>(I) failure to timely notify the department of changes in the licensee’</w:t>
      </w:r>
      <w:r w:rsidRPr="00520140">
        <w:t>s current mailing address, business street address, and business telephone number.</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0140">
        <w:t>: Amended by State Register Volume 7, Issue No. 6, eff June 24, 1983; State Register Volume 9, Issue No. 2, eff February 22, 1985; State Register Volume 14, Issue No. 6, eff June 22, 1990; State Register Volume 23, Issue No. 6, eff June 25, 1999; State Register Volume 36, Issue No. 6, eff June 22, 2012; SCSR 44</w:t>
      </w:r>
      <w:r>
        <w:t>-</w:t>
      </w:r>
      <w:r w:rsidRPr="00520140">
        <w:t>2 Doc. No. 4848, eff February 28, 2020.</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140">
        <w:t>29</w:t>
      </w:r>
      <w:r>
        <w:t>-</w:t>
      </w:r>
      <w:r w:rsidRPr="00520140">
        <w:t>9. Change of Address.</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140">
        <w:tab/>
        <w:t>(A) Each licensee must maintain a current mailing address, business street address, and business telephone number.</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140">
        <w:tab/>
        <w:t>(B) Each licensee must notify the department within fifteen days of any changes listed above in (A).</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0140">
        <w:t>: Amended by State Register Volume 23, Issue No. 6, eff June 25, 1999; SCSR 44</w:t>
      </w:r>
      <w:r>
        <w:t>-</w:t>
      </w:r>
      <w:r w:rsidRPr="00520140">
        <w:t>2 Doc. No. 4848, eff February 28, 2020.</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140">
        <w:t>29</w:t>
      </w:r>
      <w:r>
        <w:t>-</w:t>
      </w:r>
      <w:r w:rsidRPr="00520140">
        <w:t>10. Mechanical Contractors Licensure Requirements.</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140">
        <w:tab/>
        <w:t>(A) Any mechanical contractor with a process piping classification that was licensed prior to April 1, 1999, may install boilers and engage in any activity involving boiler maintenance, repair, or inspection. Any mechanical contractor issued an initial license with a process piping classification on or after April 1, 1999, may not engage in any boiler work requiring a license unless he has a mechanical contractors heating classification.</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140">
        <w:tab/>
      </w:r>
      <w:r w:rsidRPr="00520140">
        <w:tab/>
        <w:t>(1) Licensees licensed prior to April 1, 1999, will be listed as a 1P process piping license classification.</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140">
        <w:tab/>
      </w:r>
      <w:r w:rsidRPr="00520140">
        <w:tab/>
        <w:t>(2) Licensees licensed on or after April 1, 1999, will be listed as a 2P process piping license classification.</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140">
        <w:tab/>
        <w:t>(B) Any general contractor with a public electrical utility classification who was licensed prior to April 1, 1999, may install athletic field lighting, stadium lighting, or lighting which is on public easements or rights</w:t>
      </w:r>
      <w:r>
        <w:t>-</w:t>
      </w:r>
      <w:r w:rsidRPr="00520140">
        <w:t>of</w:t>
      </w:r>
      <w:r>
        <w:t>-</w:t>
      </w:r>
      <w:r w:rsidRPr="00520140">
        <w:t>way. Any general contractor issued an initial license with a public electrical utility classification on or after April 1, 1999, may not engage in this work.</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140">
        <w:tab/>
      </w:r>
      <w:r w:rsidRPr="00520140">
        <w:tab/>
        <w:t>(1) Licensees licensed prior to April 1, 1999, will be listed as a 1U public electrical utility license classification.</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140">
        <w:tab/>
      </w:r>
      <w:r w:rsidRPr="00520140">
        <w:tab/>
        <w:t>(2) Licensees licensed on or after April 1, 1999, will be listed as a 2U public electrical utility license classification.</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140">
        <w:tab/>
        <w:t>(C) Any contractor licensed under (A)(1) or (B)(1) above who has not actively maintained their license, or continuously employed a properly qualifying party for the entity, or whose license has been canceled or revoked shall not be eligible thereafter to obtain a 1P or 1U classification.</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140">
        <w:tab/>
        <w:t>(D) Any qualifying party listed under the 1P or 1U classification who leaves employment of the entity he is currently qualifying, shall not be eligible thereafter to obtain 1P or 1U classification.</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0140">
        <w:t>: Amended by State Register Volume 12, Issue No. 6, eff May 27, 1988; State Register Volume 16, Issue No. 6, eff January 1, 1993; State Register Volume 23, Issue No. 6, eff June 25, 1999; State Register Volume 24, Issue No. 5, eff May 26, 2000; State Register Volume 36, Issue No. 6, eff June 22, 2012; SCSR 48</w:t>
      </w:r>
      <w:r>
        <w:t>-</w:t>
      </w:r>
      <w:r w:rsidRPr="00520140">
        <w:t>5 Doc. No. 5244, eff May 24, 2024.</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140">
        <w:t>29</w:t>
      </w:r>
      <w:r>
        <w:t>-</w:t>
      </w:r>
      <w:r w:rsidRPr="00520140">
        <w:t>11. Repealed.</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0140">
        <w:t>: Former Regulation, titled Owner</w:t>
      </w:r>
      <w:r>
        <w:t>-</w:t>
      </w:r>
      <w:r w:rsidRPr="00520140">
        <w:t>Prepared Financial Statement, had the following history: Added by State Register Volume 24, Issue No. 5, eff May 26, 2000. Amended by State Register Volume 36, Issue No. 6, eff June 22, 2012. Repealed by SCSR 44</w:t>
      </w:r>
      <w:r>
        <w:t>-</w:t>
      </w:r>
      <w:r w:rsidRPr="00520140">
        <w:t>2 Doc. No. 4848, eff February 28, 2020.</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140">
        <w:t>29</w:t>
      </w:r>
      <w:r>
        <w:t>-</w:t>
      </w:r>
      <w:r w:rsidRPr="00520140">
        <w:t>12. General Contractors</w:t>
      </w:r>
      <w:r>
        <w:t>-</w:t>
      </w:r>
      <w:r w:rsidRPr="00520140">
        <w:t>Highway Classification.</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140">
        <w:tab/>
      </w:r>
      <w:r w:rsidRPr="00520140">
        <w:t>Any contractor that has been issued all of the following license classifications referenced in Section 40</w:t>
      </w:r>
      <w:r>
        <w:t>-</w:t>
      </w:r>
      <w:r w:rsidRPr="00520140">
        <w:t>11</w:t>
      </w:r>
      <w:r>
        <w:t>-</w:t>
      </w:r>
      <w:r w:rsidRPr="00520140">
        <w:t>410(2) will be designated as HIGHWAY (HY) on the license card and license certificate:</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140">
        <w:tab/>
      </w:r>
      <w:r w:rsidRPr="00520140">
        <w:tab/>
        <w:t>(1) Bridges; and</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140">
        <w:tab/>
      </w:r>
      <w:r w:rsidRPr="00520140">
        <w:tab/>
        <w:t>(2) Concrete Paving; and</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140">
        <w:tab/>
      </w:r>
      <w:r w:rsidRPr="00520140">
        <w:tab/>
        <w:t>(3) Asphalt Paving; and</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140">
        <w:tab/>
      </w:r>
      <w:r w:rsidRPr="00520140">
        <w:tab/>
        <w:t>(4) Grading, and</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140">
        <w:tab/>
      </w:r>
      <w:r w:rsidRPr="00520140">
        <w:tab/>
        <w:t>(5) Highway Incidental.</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0140">
        <w:t>: Added by State Register Volume 24, Issue No. 5, eff May 26, 2000. Amended by SCSR 44</w:t>
      </w:r>
      <w:r>
        <w:t>-</w:t>
      </w:r>
      <w:r w:rsidRPr="00520140">
        <w:t>2 Doc. No. 4848, eff February 28, 2020.</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140">
        <w:t>29</w:t>
      </w:r>
      <w:r>
        <w:t>-</w:t>
      </w:r>
      <w:r w:rsidRPr="00520140">
        <w:t>13. Mechanical Contractors — Air conditioning, Heating and Packaged Equipment.</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140">
        <w:tab/>
      </w:r>
      <w:r w:rsidRPr="00520140">
        <w:tab/>
        <w:t>1. Each contractor licensed in these mechanical contractors sub classifications shall conspicuously display the mechanical contractor license issued to it by the South Carolina Department of Labor, Licensing and Regulation in an area accessible to the public at the contractor’</w:t>
      </w:r>
      <w:r w:rsidRPr="00520140">
        <w:t>s principal place of business.</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140">
        <w:tab/>
      </w:r>
      <w:r w:rsidRPr="00520140">
        <w:tab/>
        <w:t>2. Each contractor licensed in these mechanical contractor sub classifications shall prominently display its mechanical contractor license number issued to it by the South Carolina Department of Labor, Licensing and Regulation on all vehicles used exclusively by the contractor in the daily operation of its business. The license number shall be a minimum of two (2) inch high letters and numbers, on a contrasting background, displayed on both sides of the vehicle.</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140">
        <w:tab/>
      </w:r>
      <w:r w:rsidRPr="00520140">
        <w:tab/>
        <w:t>3. Each invoice and proposal form for these licensed mechanical contractor sub classifications shall contain the mechanical contractor license number issued by the South Carolina Department of Labor, Licensing and Regulation.</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0140">
        <w:t>: Added by SCSR 42</w:t>
      </w:r>
      <w:r>
        <w:t>-</w:t>
      </w:r>
      <w:r w:rsidRPr="00520140">
        <w:t>5 Doc. No. 4796, eff May 25, 2018.</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140">
        <w:t>29</w:t>
      </w:r>
      <w:r>
        <w:t>-</w:t>
      </w:r>
      <w:r w:rsidRPr="00520140">
        <w:t>14. Surety Bond Claims.</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140">
        <w:tab/>
        <w:t>(A) A claim on a surety bond issued pursuant to Section 40</w:t>
      </w:r>
      <w:r>
        <w:t>-</w:t>
      </w:r>
      <w:r w:rsidRPr="00520140">
        <w:t>11</w:t>
      </w:r>
      <w:r>
        <w:t>-</w:t>
      </w:r>
      <w:r w:rsidRPr="00520140">
        <w:t>262 shall be filed directly with the surety company by the claimant on a claim form approved by the Board. A claimant is not required to receive authorization from the Board to file a bond claim. Claims are limited to the acts or omissions referenced in Section 40</w:t>
      </w:r>
      <w:r>
        <w:t>-</w:t>
      </w:r>
      <w:r w:rsidRPr="00520140">
        <w:t>11</w:t>
      </w:r>
      <w:r>
        <w:t>-</w:t>
      </w:r>
      <w:r w:rsidRPr="00520140">
        <w:t>262(B)(3), are for actual damages, and do not include attorney’</w:t>
      </w:r>
      <w:r w:rsidRPr="00520140">
        <w:t>s fees incurred by or punitive damages awarded to the claimant.</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140">
        <w:tab/>
        <w:t>(B) All liability on a surety bond is applicable to the surety bond in effect as of the date of occurrence which gave rise to the liability.</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0140">
        <w:t>: Added by SCSR 43</w:t>
      </w:r>
      <w:r>
        <w:t>-</w:t>
      </w:r>
      <w:r w:rsidRPr="00520140">
        <w:t>5 Doc. No. 4849, eff May 24, 2019.</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520140">
        <w:t xml:space="preserve"> 6</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20140">
        <w:t>[Regulations Administering Fire Protection Sprinkler Systems Act] [REPEALED]</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520140">
        <w:t xml:space="preserve">: 1976 Code Sections </w:t>
      </w:r>
      <w:r w:rsidRPr="00520140">
        <w:t xml:space="preserve"> 23</w:t>
      </w:r>
      <w:r>
        <w:t>-</w:t>
      </w:r>
      <w:r w:rsidRPr="00520140">
        <w:t>45</w:t>
      </w:r>
      <w:r>
        <w:t>-</w:t>
      </w:r>
      <w:r w:rsidRPr="00520140">
        <w:t>40)</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140">
        <w:t>29</w:t>
      </w:r>
      <w:r>
        <w:t>-</w:t>
      </w:r>
      <w:r w:rsidRPr="00520140">
        <w:t>70. Repealed.</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0140">
        <w:t>: Former Regulation, titled Definitions, had the following history: Added by State Register Volume 15, Issue No. 5, effective May 24, 1991. Amended by State Register Volume 36, Issue No. 6, eff June 22, 2012. Repealed by SCSR 44</w:t>
      </w:r>
      <w:r>
        <w:t>-</w:t>
      </w:r>
      <w:r w:rsidRPr="00520140">
        <w:t>2 Doc. No. 4848, eff February 28, 2020.</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140">
        <w:t>29</w:t>
      </w:r>
      <w:r>
        <w:t>-</w:t>
      </w:r>
      <w:r w:rsidRPr="00520140">
        <w:t>75. Repealed.</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0140">
        <w:t>: Former Regulation, titled Applications, Fees, had the following history: Added by State Register Volume 15, Issue No. 5, effective May 24, 1991. Amended by State Register Volume 36, Issue No. 6, eff June 22, 2012. Repealed by SCSR 44</w:t>
      </w:r>
      <w:r>
        <w:t>-</w:t>
      </w:r>
      <w:r w:rsidRPr="00520140">
        <w:t>2 Doc. No. 4848, eff February 28, 2020.</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140">
        <w:t>29</w:t>
      </w:r>
      <w:r>
        <w:t>-</w:t>
      </w:r>
      <w:r w:rsidRPr="00520140">
        <w:t>80. Repealed.</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0140">
        <w:t>: Former Regulation, titled Certificate Holder; Grandfathered Qualifier, had the following history: Added by State Register Volume 15, Issue No. 5, effective May 24, 1991. Amended by State Register Volume 36, Issue No. 6, eff June 22, 2012. Repealed by SCSR 44</w:t>
      </w:r>
      <w:r>
        <w:t>-</w:t>
      </w:r>
      <w:r w:rsidRPr="00520140">
        <w:t>2 Doc. No. 4848, eff February 28, 2020.</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140">
        <w:t>29</w:t>
      </w:r>
      <w:r>
        <w:t>-</w:t>
      </w:r>
      <w:r w:rsidRPr="00520140">
        <w:t>85. Repealed.</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0140">
        <w:t>: Former Regulation, titled Transfer of Qualifications, had the following history: Added by State Register Volume 15, Issue No. 5, effective May 24, 1991. Amended by State Register Volume 36, Issue No. 6, eff June 22, 2012. Repealed by SCSR 44</w:t>
      </w:r>
      <w:r>
        <w:t>-</w:t>
      </w:r>
      <w:r w:rsidRPr="00520140">
        <w:t>2 Doc. No. 4848, eff February 28, 2020.</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140">
        <w:t>29</w:t>
      </w:r>
      <w:r>
        <w:t>-</w:t>
      </w:r>
      <w:r w:rsidRPr="00520140">
        <w:t>90. Repealed.</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0140">
        <w:t>: Former Regulation, titled Renewals, had the following history: Added by State Register Volume 15, Issue No. 5, effective May 24, 1991. Amended by State Register Volume 36, Issue No. 6, eff June 22, 2012; State Register Volume 38, Issue No. 6, Doc. No. 4418, eff June 27, 2014. Repealed by SCSR 44</w:t>
      </w:r>
      <w:r>
        <w:t>-</w:t>
      </w:r>
      <w:r w:rsidRPr="00520140">
        <w:t>2 Doc. No. 4848, eff February 28, 2020.</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140">
        <w:t>29</w:t>
      </w:r>
      <w:r>
        <w:t>-</w:t>
      </w:r>
      <w:r w:rsidRPr="00520140">
        <w:t>95. Repealed.</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0140">
        <w:t>: Former Regulation, titled Contract Bids, Awards, had the following history: Added by State Register Volume 15, Issue No. 5, effective May 24, 1991. Amended by State Register Volume 17, Issue No. 5, Part 1, eff May 28, 1993. Repealed by SCSR 44</w:t>
      </w:r>
      <w:r>
        <w:t>-</w:t>
      </w:r>
      <w:r w:rsidRPr="00520140">
        <w:t>2 Doc. No. 4848, eff February 28, 2020.</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140">
        <w:t>29</w:t>
      </w:r>
      <w:r>
        <w:t>-</w:t>
      </w:r>
      <w:r w:rsidRPr="00520140">
        <w:t>100. Repealed.</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0140">
        <w:t>: Former Regulation, titled Exemptions, had the following history: Added by State Register Volume 15, Issue No. 5, effective May 24, 1991. Amended by State Register Volume 36, Issue No. 6, eff June 22, 2012. Repealed by SCSR 44</w:t>
      </w:r>
      <w:r>
        <w:t>-</w:t>
      </w:r>
      <w:r w:rsidRPr="00520140">
        <w:t>2 Doc. No. 4848, eff February 28, 2020.</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140">
        <w:t>29</w:t>
      </w:r>
      <w:r>
        <w:t>-</w:t>
      </w:r>
      <w:r w:rsidRPr="00520140">
        <w:t>105. Repealed.</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0140">
        <w:t>: Former Regulation, titled Plan Review Fees, had the following history: Added by State Register Volume 15, Issue No. 5, effective May 24, 1991. Amended by State Register Volume 36, Issue No. 6, eff June 22, 2012. Repealed by SCSR 44</w:t>
      </w:r>
      <w:r>
        <w:t>-</w:t>
      </w:r>
      <w:r w:rsidRPr="00520140">
        <w:t>2 Doc. No. 4848, eff February 28, 2020.</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140">
        <w:t>29</w:t>
      </w:r>
      <w:r>
        <w:t>-</w:t>
      </w:r>
      <w:r w:rsidRPr="00520140">
        <w:t>110. Repealed.</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0140">
        <w:t>: Former Regulation, titled Violations, Complaints, had the following history: Added by State Register Volume 15, Issue No. 5, effective May 24, 1991. Amended by State Register Volume 36, Issue No. 6, eff June 22, 2012. Repealed by SCSR 44</w:t>
      </w:r>
      <w:r>
        <w:t>-</w:t>
      </w:r>
      <w:r w:rsidRPr="00520140">
        <w:t>2 Doc. No. 4848, eff February 28, 2020.</w:t>
      </w: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140" w:rsidRPr="00520140" w:rsidRDefault="00520140" w:rsidP="00520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520140" w:rsidSect="0052014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20140" w:rsidRDefault="00520140" w:rsidP="00520140">
      <w:r>
        <w:separator/>
      </w:r>
    </w:p>
  </w:endnote>
  <w:endnote w:type="continuationSeparator" w:id="0">
    <w:p w:rsidR="00520140" w:rsidRDefault="00520140" w:rsidP="00520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20140" w:rsidRPr="00520140" w:rsidRDefault="00520140" w:rsidP="005201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20140" w:rsidRPr="00520140" w:rsidRDefault="00520140" w:rsidP="005201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20140" w:rsidRPr="00520140" w:rsidRDefault="00520140" w:rsidP="005201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20140" w:rsidRDefault="00520140" w:rsidP="00520140">
      <w:r>
        <w:separator/>
      </w:r>
    </w:p>
  </w:footnote>
  <w:footnote w:type="continuationSeparator" w:id="0">
    <w:p w:rsidR="00520140" w:rsidRDefault="00520140" w:rsidP="00520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20140" w:rsidRPr="00520140" w:rsidRDefault="00520140" w:rsidP="005201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20140" w:rsidRPr="00520140" w:rsidRDefault="00520140" w:rsidP="005201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20140" w:rsidRPr="00520140" w:rsidRDefault="00520140" w:rsidP="005201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0225D"/>
    <w:rsid w:val="00520140"/>
    <w:rsid w:val="0090225D"/>
    <w:rsid w:val="00CA5186"/>
    <w:rsid w:val="00E74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642A1C-2886-4696-89E7-2ABFF6ECE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140"/>
    <w:pPr>
      <w:tabs>
        <w:tab w:val="center" w:pos="4680"/>
        <w:tab w:val="right" w:pos="9360"/>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HeaderChar">
    <w:name w:val="Header Char"/>
    <w:basedOn w:val="DefaultParagraphFont"/>
    <w:link w:val="Header"/>
    <w:uiPriority w:val="99"/>
    <w:rsid w:val="00520140"/>
    <w:rPr>
      <w:rFonts w:eastAsiaTheme="minorEastAsia"/>
      <w:sz w:val="22"/>
      <w:szCs w:val="24"/>
    </w:rPr>
  </w:style>
  <w:style w:type="paragraph" w:styleId="Footer">
    <w:name w:val="footer"/>
    <w:basedOn w:val="Normal"/>
    <w:link w:val="FooterChar"/>
    <w:uiPriority w:val="99"/>
    <w:unhideWhenUsed/>
    <w:rsid w:val="00520140"/>
    <w:pPr>
      <w:tabs>
        <w:tab w:val="center" w:pos="4680"/>
        <w:tab w:val="right" w:pos="9360"/>
      </w:tabs>
    </w:pPr>
  </w:style>
  <w:style w:type="character" w:customStyle="1" w:styleId="FooterChar">
    <w:name w:val="Footer Char"/>
    <w:basedOn w:val="DefaultParagraphFont"/>
    <w:link w:val="Footer"/>
    <w:uiPriority w:val="99"/>
    <w:rsid w:val="00520140"/>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088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2463</Words>
  <Characters>14044</Characters>
  <Application>Microsoft Office Word</Application>
  <DocSecurity>0</DocSecurity>
  <Lines>117</Lines>
  <Paragraphs>32</Paragraphs>
  <ScaleCrop>false</ScaleCrop>
  <Company/>
  <LinksUpToDate>false</LinksUpToDate>
  <CharactersWithSpaces>16475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3</cp:revision>
  <dcterms:created xsi:type="dcterms:W3CDTF">2024-10-08T16:57:00Z</dcterms:created>
  <dcterms:modified xsi:type="dcterms:W3CDTF">2024-10-08T16:57:00Z</dcterms:modified>
</cp:coreProperties>
</file>