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32c363c52c48f6" /><Relationship Type="http://schemas.openxmlformats.org/package/2006/relationships/metadata/core-properties" Target="/package/services/metadata/core-properties/6ee2250726724f62910403e453af8601.psmdcp" Id="R921ac80c468f479e" /></Relationships>
</file>

<file path=word/document.xml><?xml version="1.0" encoding="utf-8"?>
<w:document xmlns:w="http://schemas.openxmlformats.org/wordprocessingml/2006/main">
  <w:body>
    <w:p xmlns:w14="http://schemas.microsoft.com/office/word/2010/wordml" w:rsidR="006721A5" w:rsidRDefault="006721A5" w14:paraId="02D97A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51</w:t>
      </w:r>
      <w:r>
        <w:rPr>
          <w:rFonts w:ascii="Times New Roman" w:hAnsi="Times New Roman" w:eastAsia="Times New Roman" w:cs="Times New Roman"/>
          <w:sz w:val="22"/>
          <w:szCs w:val="22"/>
          <w:lang w:val="en-PH"/>
        </w:rPr>
      </w:r>
    </w:p>
    <w:p xmlns:w14="http://schemas.microsoft.com/office/word/2010/wordml" w:rsidR="006721A5" w:rsidRDefault="006721A5" w14:paraId="0C565A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Services, Programs and Facilities for the Aging Study Committee</w:t>
      </w:r>
      <w:r>
        <w:rPr>
          <w:rFonts w:ascii="Times New Roman" w:hAnsi="Times New Roman" w:eastAsia="Times New Roman" w:cs="Times New Roman"/>
          <w:sz w:val="22"/>
          <w:szCs w:val="22"/>
          <w:lang w:val="en-PH"/>
        </w:rPr>
      </w:r>
    </w:p>
    <w:p xmlns:w14="http://schemas.microsoft.com/office/word/2010/wordml" w:rsidR="006721A5" w:rsidRDefault="006721A5" w14:paraId="1479199F" w14:textId="77777777">
      <w:pPr>
        <w:spacing w:before="0" w:after="0" w:line="240" w:lineRule="auto"/>
        <w:rPr>
          <w:rFonts w:ascii="Arial" w:hAnsi="Arial" w:cs="Arial"/>
          <w:lang w:val="en-PH"/>
        </w:rPr>
      </w:pPr>
    </w:p>
    <w:p xmlns:w14="http://schemas.microsoft.com/office/word/2010/wordml" w:rsidR="006721A5" w:rsidRDefault="006721A5" w14:paraId="6ABA8F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2-51-10. Committee created; membership; terms.</w:t>
      </w:r>
      <w:r>
        <w:rPr>
          <w:rFonts w:ascii="Times New Roman" w:hAnsi="Times New Roman" w:eastAsia="Times New Roman" w:cs="Times New Roman"/>
          <w:b w:val="true"/>
          <w:sz w:val="22"/>
          <w:szCs w:val="22"/>
          <w:lang w:val="en-PH"/>
        </w:rPr>
      </w:r>
    </w:p>
    <w:p xmlns:w14="http://schemas.microsoft.com/office/word/2010/wordml" w:rsidR="006721A5" w:rsidRDefault="006721A5" w14:paraId="4EDB3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permanent committee to conduct continuing studies of public and private services, programs, and facilities for the Aging in South Carolina and report its findings and recommendations annually to the General Assembly. Three members must be appointed from the Senate by the President thereof, three members must be appointed from the House of Representatives by the Speaker, and three members must be appointed by the Governor. Terms of legislative members are coterminous with their terms as m</w:t>
      </w:r>
      <w:r>
        <w:rPr>
          <w:rFonts w:ascii="Times New Roman" w:hAnsi="Times New Roman" w:eastAsia="Times New Roman" w:cs="Times New Roman"/>
          <w:sz w:val="22"/>
          <w:szCs w:val="22"/>
          <w:lang w:val="en-PH"/>
        </w:rPr>
        <w:t>embers of the General Assembly and terms of members appointed by the Governor shall be coterminous with the term of the appointing Governor. The Legislative Council shall provide such legal services as the committee may require in the performance of its duties. From funds appropriated to the State Reorganization Commission in the General Appropriations Act for Fiscal Year 1997-98 and subsequent years, the commission shall provide all other staff support for the committee.</w:t>
      </w:r>
      <w:r>
        <w:rPr>
          <w:rFonts w:ascii="Times New Roman" w:hAnsi="Times New Roman" w:eastAsia="Times New Roman" w:cs="Times New Roman"/>
          <w:sz w:val="22"/>
          <w:szCs w:val="22"/>
          <w:lang w:val="en-PH"/>
        </w:rPr>
      </w:r>
    </w:p>
    <w:p xmlns:w14="http://schemas.microsoft.com/office/word/2010/wordml" w14:paraId="2D428EC7" w14:textId="77777777">
      <w:pPr>
        <w:spacing w:before="0" w:after="0" w:line="240" w:lineRule="auto"/>
      </w:pPr>
      <w:r>
        <w:t/>
      </w:r>
    </w:p>
    <w:p xmlns:w14="http://schemas.microsoft.com/office/word/2010/wordml" w:rsidR="006721A5" w:rsidRDefault="006721A5" w14:paraId="7B227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402, § 2; 1997 Act No. 155, Part II, § 30A.</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