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865" w14:textId="48EE7BBF" w:rsidR="00B70229" w:rsidRDefault="00B70229" w:rsidP="00413C50">
      <w:r>
        <w:t>Agency Name: Massage Therapy Board- Labor, Licensing and Regulation</w:t>
      </w:r>
    </w:p>
    <w:p w14:paraId="0BA5D887" w14:textId="624695D2" w:rsidR="00B70229" w:rsidRDefault="00B70229" w:rsidP="00413C50">
      <w:r>
        <w:t>Statutory Authority: 40-1-70</w:t>
      </w:r>
      <w:r>
        <w:rPr>
          <w:rFonts w:cs="Times New Roman"/>
        </w:rPr>
        <w:t>, 40</w:t>
      </w:r>
      <w:r>
        <w:rPr>
          <w:rFonts w:cs="Times New Roman"/>
        </w:rPr>
        <w:noBreakHyphen/>
        <w:t>30</w:t>
      </w:r>
      <w:r>
        <w:rPr>
          <w:rFonts w:cs="Times New Roman"/>
        </w:rPr>
        <w:noBreakHyphen/>
        <w:t>30, 40</w:t>
      </w:r>
      <w:r>
        <w:rPr>
          <w:rFonts w:cs="Times New Roman"/>
        </w:rPr>
        <w:noBreakHyphen/>
        <w:t>30</w:t>
      </w:r>
      <w:r>
        <w:rPr>
          <w:rFonts w:cs="Times New Roman"/>
        </w:rPr>
        <w:noBreakHyphen/>
        <w:t>50, 40</w:t>
      </w:r>
      <w:r>
        <w:rPr>
          <w:rFonts w:cs="Times New Roman"/>
        </w:rPr>
        <w:noBreakHyphen/>
        <w:t>30</w:t>
      </w:r>
      <w:r>
        <w:rPr>
          <w:rFonts w:cs="Times New Roman"/>
        </w:rPr>
        <w:noBreakHyphen/>
        <w:t>113, 40</w:t>
      </w:r>
      <w:r>
        <w:rPr>
          <w:rFonts w:cs="Times New Roman"/>
        </w:rPr>
        <w:noBreakHyphen/>
        <w:t>30</w:t>
      </w:r>
      <w:r>
        <w:rPr>
          <w:rFonts w:cs="Times New Roman"/>
        </w:rPr>
        <w:noBreakHyphen/>
        <w:t>120, 40</w:t>
      </w:r>
      <w:r>
        <w:rPr>
          <w:rFonts w:cs="Times New Roman"/>
        </w:rPr>
        <w:noBreakHyphen/>
        <w:t>30</w:t>
      </w:r>
      <w:r>
        <w:rPr>
          <w:rFonts w:cs="Times New Roman"/>
        </w:rPr>
        <w:noBreakHyphen/>
        <w:t>140, 40</w:t>
      </w:r>
      <w:r>
        <w:rPr>
          <w:rFonts w:cs="Times New Roman"/>
        </w:rPr>
        <w:noBreakHyphen/>
        <w:t>30</w:t>
      </w:r>
      <w:r>
        <w:rPr>
          <w:rFonts w:cs="Times New Roman"/>
        </w:rPr>
        <w:noBreakHyphen/>
        <w:t>150, 40</w:t>
      </w:r>
      <w:r>
        <w:rPr>
          <w:rFonts w:cs="Times New Roman"/>
        </w:rPr>
        <w:noBreakHyphen/>
        <w:t>30</w:t>
      </w:r>
      <w:r>
        <w:rPr>
          <w:rFonts w:cs="Times New Roman"/>
        </w:rPr>
        <w:noBreakHyphen/>
        <w:t>160, 40</w:t>
      </w:r>
      <w:r>
        <w:rPr>
          <w:rFonts w:cs="Times New Roman"/>
        </w:rPr>
        <w:noBreakHyphen/>
        <w:t>30</w:t>
      </w:r>
      <w:r>
        <w:rPr>
          <w:rFonts w:cs="Times New Roman"/>
        </w:rPr>
        <w:noBreakHyphen/>
        <w:t>180, and 40</w:t>
      </w:r>
      <w:r>
        <w:rPr>
          <w:rFonts w:cs="Times New Roman"/>
        </w:rPr>
        <w:noBreakHyphen/>
        <w:t>30</w:t>
      </w:r>
      <w:r>
        <w:rPr>
          <w:rFonts w:cs="Times New Roman"/>
        </w:rPr>
        <w:noBreakHyphen/>
        <w:t>190</w:t>
      </w:r>
    </w:p>
    <w:p w14:paraId="14E7B821" w14:textId="233A38E8" w:rsidR="00A84CDB" w:rsidRDefault="00413C50" w:rsidP="00413C50">
      <w:r>
        <w:t>Document Number: 5400</w:t>
      </w:r>
    </w:p>
    <w:p w14:paraId="6C8144B6" w14:textId="6A1227FE" w:rsidR="00413C50" w:rsidRDefault="00B70229" w:rsidP="00413C50">
      <w:r>
        <w:t>Proposed in State Register Volume and Issue: 49/8</w:t>
      </w:r>
    </w:p>
    <w:p w14:paraId="03932D4B" w14:textId="77777777" w:rsidR="00D36BBE" w:rsidRDefault="00D36BBE" w:rsidP="00413C50">
      <w:r>
        <w:t>House Committee: Reg., Admin. Procedures, AI and Cybersecurity</w:t>
      </w:r>
    </w:p>
    <w:p w14:paraId="07B9864B" w14:textId="61D6AC0C" w:rsidR="0012634C" w:rsidRDefault="0012634C" w:rsidP="00413C50">
      <w:r>
        <w:t>Senate Committee: Labor, Commerce and Industry Committee</w:t>
      </w:r>
    </w:p>
    <w:p w14:paraId="39B77C1C" w14:textId="3F179B9C" w:rsidR="00986ABC" w:rsidRDefault="00986ABC" w:rsidP="00413C50">
      <w:r>
        <w:t>110 Day Review Expiration Date for Automatic Approval: 05/03/2026</w:t>
      </w:r>
    </w:p>
    <w:p w14:paraId="58C56F40" w14:textId="77777777" w:rsidR="00986ABC" w:rsidRDefault="00B70229" w:rsidP="00413C50">
      <w:r>
        <w:t xml:space="preserve">Status: </w:t>
      </w:r>
      <w:r w:rsidR="00986ABC">
        <w:t>Pending</w:t>
      </w:r>
    </w:p>
    <w:p w14:paraId="226E34C9" w14:textId="088B082E" w:rsidR="00B70229" w:rsidRDefault="00B70229" w:rsidP="00413C50">
      <w:r>
        <w:t>Subject: Massage Therapy Board</w:t>
      </w:r>
    </w:p>
    <w:p w14:paraId="35057A76" w14:textId="77777777" w:rsidR="00B70229" w:rsidRDefault="00B70229" w:rsidP="00413C50"/>
    <w:p w14:paraId="4BF41A06" w14:textId="137B201F" w:rsidR="00413C50" w:rsidRDefault="00413C50" w:rsidP="00413C50">
      <w:r>
        <w:t>History: 5400</w:t>
      </w:r>
    </w:p>
    <w:p w14:paraId="588792FC" w14:textId="77777777" w:rsidR="00413C50" w:rsidRDefault="00413C50" w:rsidP="00413C50"/>
    <w:p w14:paraId="09DF91EC" w14:textId="60EDB6F1" w:rsidR="00413C50" w:rsidRDefault="00413C50" w:rsidP="00413C5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588A3E1" w14:textId="06404263" w:rsidR="00413C50" w:rsidRDefault="00B70229" w:rsidP="00413C50">
      <w:pPr>
        <w:tabs>
          <w:tab w:val="left" w:pos="475"/>
          <w:tab w:val="left" w:pos="2304"/>
          <w:tab w:val="center" w:pos="6494"/>
          <w:tab w:val="left" w:pos="7373"/>
          <w:tab w:val="left" w:pos="8554"/>
        </w:tabs>
      </w:pPr>
      <w:r>
        <w:t>-</w:t>
      </w:r>
      <w:r>
        <w:tab/>
        <w:t>08/22/2025</w:t>
      </w:r>
      <w:r>
        <w:tab/>
        <w:t>Proposed Reg Published in SR</w:t>
      </w:r>
      <w:r>
        <w:tab/>
      </w:r>
    </w:p>
    <w:p w14:paraId="1F80304C" w14:textId="4C62B292" w:rsidR="00B70229" w:rsidRDefault="00986ABC" w:rsidP="00413C50">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4172B2E1" w14:textId="386249EA" w:rsidR="00986ABC" w:rsidRDefault="0012634C" w:rsidP="00413C50">
      <w:pPr>
        <w:tabs>
          <w:tab w:val="left" w:pos="475"/>
          <w:tab w:val="left" w:pos="2304"/>
          <w:tab w:val="center" w:pos="6494"/>
          <w:tab w:val="left" w:pos="7373"/>
          <w:tab w:val="left" w:pos="8554"/>
        </w:tabs>
      </w:pPr>
      <w:r>
        <w:t>S</w:t>
      </w:r>
      <w:r>
        <w:tab/>
        <w:t>01/13/2026</w:t>
      </w:r>
      <w:r>
        <w:tab/>
        <w:t>Referred to Committee</w:t>
      </w:r>
      <w:r>
        <w:tab/>
      </w:r>
    </w:p>
    <w:p w14:paraId="619309D5" w14:textId="16BD9FC3" w:rsidR="0012634C" w:rsidRDefault="00D36BBE" w:rsidP="00413C50">
      <w:pPr>
        <w:tabs>
          <w:tab w:val="left" w:pos="475"/>
          <w:tab w:val="left" w:pos="2304"/>
          <w:tab w:val="center" w:pos="6494"/>
          <w:tab w:val="left" w:pos="7373"/>
          <w:tab w:val="left" w:pos="8554"/>
        </w:tabs>
      </w:pPr>
      <w:r>
        <w:t>H</w:t>
      </w:r>
      <w:r>
        <w:tab/>
        <w:t>01/14/2026</w:t>
      </w:r>
      <w:r>
        <w:tab/>
        <w:t>Referred to Committee</w:t>
      </w:r>
      <w:r>
        <w:tab/>
      </w:r>
    </w:p>
    <w:p w14:paraId="2E990167" w14:textId="595A78EA" w:rsidR="00D36BBE" w:rsidRDefault="00E115AD" w:rsidP="00413C50">
      <w:pPr>
        <w:tabs>
          <w:tab w:val="left" w:pos="475"/>
          <w:tab w:val="left" w:pos="2304"/>
          <w:tab w:val="center" w:pos="6494"/>
          <w:tab w:val="left" w:pos="7373"/>
          <w:tab w:val="left" w:pos="8554"/>
        </w:tabs>
      </w:pPr>
      <w:r>
        <w:t>S</w:t>
      </w:r>
      <w:r>
        <w:tab/>
        <w:t>03/31/2026</w:t>
      </w:r>
      <w:r>
        <w:tab/>
        <w:t>Resolution Introduced to Approve</w:t>
      </w:r>
      <w:r>
        <w:tab/>
        <w:t>1080</w:t>
      </w:r>
    </w:p>
    <w:p w14:paraId="16B7650E" w14:textId="77777777" w:rsidR="00E115AD" w:rsidRPr="00E115AD" w:rsidRDefault="00E115AD" w:rsidP="00413C50">
      <w:pPr>
        <w:tabs>
          <w:tab w:val="left" w:pos="475"/>
          <w:tab w:val="left" w:pos="2304"/>
          <w:tab w:val="center" w:pos="6494"/>
          <w:tab w:val="left" w:pos="7373"/>
          <w:tab w:val="left" w:pos="8554"/>
        </w:tabs>
      </w:pPr>
    </w:p>
    <w:p w14:paraId="697E280D" w14:textId="77777777" w:rsidR="00884328" w:rsidRDefault="00413C50" w:rsidP="00334587">
      <w:pPr>
        <w:jc w:val="center"/>
      </w:pPr>
      <w:r>
        <w:br w:type="page"/>
      </w:r>
      <w:r w:rsidR="00884328">
        <w:lastRenderedPageBreak/>
        <w:t>Document No. 5400</w:t>
      </w:r>
    </w:p>
    <w:p w14:paraId="27D368A5" w14:textId="77777777" w:rsidR="00884328" w:rsidRPr="002C3852" w:rsidRDefault="00884328" w:rsidP="00334587">
      <w:pPr>
        <w:jc w:val="center"/>
        <w:rPr>
          <w:rFonts w:cs="Times New Roman"/>
          <w:b/>
        </w:rPr>
      </w:pPr>
      <w:r w:rsidRPr="002C3852">
        <w:rPr>
          <w:rFonts w:cs="Times New Roman"/>
          <w:b/>
        </w:rPr>
        <w:t>DEPARTMENT OF LABOR, LICENSING AND REGULATION</w:t>
      </w:r>
    </w:p>
    <w:p w14:paraId="74624752" w14:textId="77777777" w:rsidR="00884328" w:rsidRPr="002C3852" w:rsidRDefault="00884328" w:rsidP="00334587">
      <w:pPr>
        <w:jc w:val="center"/>
        <w:rPr>
          <w:rFonts w:cs="Times New Roman"/>
          <w:b/>
        </w:rPr>
      </w:pPr>
      <w:r>
        <w:rPr>
          <w:rFonts w:cs="Times New Roman"/>
          <w:b/>
        </w:rPr>
        <w:t>MASSAGE THERAPY BOARD</w:t>
      </w:r>
    </w:p>
    <w:p w14:paraId="79571CA2" w14:textId="77777777" w:rsidR="00884328" w:rsidRPr="008515C9" w:rsidRDefault="00884328" w:rsidP="00334587">
      <w:pPr>
        <w:jc w:val="center"/>
        <w:rPr>
          <w:rFonts w:cs="Times New Roman"/>
          <w:bCs/>
          <w:caps/>
        </w:rPr>
      </w:pPr>
      <w:r w:rsidRPr="008515C9">
        <w:rPr>
          <w:rFonts w:cs="Times New Roman"/>
          <w:bCs/>
          <w:caps/>
        </w:rPr>
        <w:t>Chapter 77</w:t>
      </w:r>
    </w:p>
    <w:p w14:paraId="1DF258D5" w14:textId="77777777" w:rsidR="00884328" w:rsidRPr="002C3852" w:rsidRDefault="00884328" w:rsidP="00334587">
      <w:pPr>
        <w:jc w:val="center"/>
        <w:rPr>
          <w:rFonts w:cs="Times New Roman"/>
        </w:rPr>
      </w:pPr>
      <w:r w:rsidRPr="002C3852">
        <w:rPr>
          <w:rFonts w:cs="Times New Roman"/>
        </w:rPr>
        <w:t>Statutory Authority:</w:t>
      </w:r>
      <w:r>
        <w:rPr>
          <w:rFonts w:cs="Times New Roman"/>
        </w:rPr>
        <w:t xml:space="preserve"> 1976 Code Sections 40-1-70, 40</w:t>
      </w:r>
      <w:r>
        <w:rPr>
          <w:rFonts w:cs="Times New Roman"/>
        </w:rPr>
        <w:noBreakHyphen/>
        <w:t>30</w:t>
      </w:r>
      <w:r>
        <w:rPr>
          <w:rFonts w:cs="Times New Roman"/>
        </w:rPr>
        <w:noBreakHyphen/>
        <w:t>30, 40</w:t>
      </w:r>
      <w:r>
        <w:rPr>
          <w:rFonts w:cs="Times New Roman"/>
        </w:rPr>
        <w:noBreakHyphen/>
        <w:t>30</w:t>
      </w:r>
      <w:r>
        <w:rPr>
          <w:rFonts w:cs="Times New Roman"/>
        </w:rPr>
        <w:noBreakHyphen/>
        <w:t>50, 40</w:t>
      </w:r>
      <w:r>
        <w:rPr>
          <w:rFonts w:cs="Times New Roman"/>
        </w:rPr>
        <w:noBreakHyphen/>
        <w:t>30</w:t>
      </w:r>
      <w:r>
        <w:rPr>
          <w:rFonts w:cs="Times New Roman"/>
        </w:rPr>
        <w:noBreakHyphen/>
        <w:t>113, 40</w:t>
      </w:r>
      <w:r>
        <w:rPr>
          <w:rFonts w:cs="Times New Roman"/>
        </w:rPr>
        <w:noBreakHyphen/>
        <w:t>30</w:t>
      </w:r>
      <w:r>
        <w:rPr>
          <w:rFonts w:cs="Times New Roman"/>
        </w:rPr>
        <w:noBreakHyphen/>
        <w:t>120, 40</w:t>
      </w:r>
      <w:r>
        <w:rPr>
          <w:rFonts w:cs="Times New Roman"/>
        </w:rPr>
        <w:noBreakHyphen/>
        <w:t>30</w:t>
      </w:r>
      <w:r>
        <w:rPr>
          <w:rFonts w:cs="Times New Roman"/>
        </w:rPr>
        <w:noBreakHyphen/>
        <w:t>140, 40</w:t>
      </w:r>
      <w:r>
        <w:rPr>
          <w:rFonts w:cs="Times New Roman"/>
        </w:rPr>
        <w:noBreakHyphen/>
        <w:t>30</w:t>
      </w:r>
      <w:r>
        <w:rPr>
          <w:rFonts w:cs="Times New Roman"/>
        </w:rPr>
        <w:noBreakHyphen/>
        <w:t>150, 40</w:t>
      </w:r>
      <w:r>
        <w:rPr>
          <w:rFonts w:cs="Times New Roman"/>
        </w:rPr>
        <w:noBreakHyphen/>
        <w:t>30</w:t>
      </w:r>
      <w:r>
        <w:rPr>
          <w:rFonts w:cs="Times New Roman"/>
        </w:rPr>
        <w:noBreakHyphen/>
        <w:t>160, 40</w:t>
      </w:r>
      <w:r>
        <w:rPr>
          <w:rFonts w:cs="Times New Roman"/>
        </w:rPr>
        <w:noBreakHyphen/>
        <w:t>30</w:t>
      </w:r>
      <w:r>
        <w:rPr>
          <w:rFonts w:cs="Times New Roman"/>
        </w:rPr>
        <w:noBreakHyphen/>
        <w:t>180, and 40</w:t>
      </w:r>
      <w:r>
        <w:rPr>
          <w:rFonts w:cs="Times New Roman"/>
        </w:rPr>
        <w:noBreakHyphen/>
        <w:t>30</w:t>
      </w:r>
      <w:r>
        <w:rPr>
          <w:rFonts w:cs="Times New Roman"/>
        </w:rPr>
        <w:noBreakHyphen/>
        <w:t>190</w:t>
      </w:r>
    </w:p>
    <w:p w14:paraId="75469F18" w14:textId="77777777" w:rsidR="00884328" w:rsidRDefault="00884328" w:rsidP="00413C50"/>
    <w:p w14:paraId="31525301" w14:textId="77777777" w:rsidR="00884328" w:rsidRDefault="00884328" w:rsidP="00413C50">
      <w:r>
        <w:t>77</w:t>
      </w:r>
      <w:r>
        <w:noBreakHyphen/>
        <w:t>106. Endorsement.</w:t>
      </w:r>
    </w:p>
    <w:p w14:paraId="3E472DCC" w14:textId="77777777" w:rsidR="00884328" w:rsidRDefault="00884328" w:rsidP="00413C50">
      <w:r>
        <w:t>77</w:t>
      </w:r>
      <w:r>
        <w:noBreakHyphen/>
        <w:t>107. Reactivation of an Inactive License.</w:t>
      </w:r>
    </w:p>
    <w:p w14:paraId="4BB4BC2E" w14:textId="77777777" w:rsidR="00884328" w:rsidRDefault="00884328" w:rsidP="00413C50">
      <w:r>
        <w:t>77</w:t>
      </w:r>
      <w:r>
        <w:noBreakHyphen/>
        <w:t>141. Massage Therapy Establishment and Sole Practitioner Establishment Operations.</w:t>
      </w:r>
    </w:p>
    <w:p w14:paraId="6FA41F14" w14:textId="77777777" w:rsidR="00884328" w:rsidRDefault="00884328" w:rsidP="00413C50">
      <w:r>
        <w:t>77</w:t>
      </w:r>
      <w:r>
        <w:noBreakHyphen/>
        <w:t>150. Sole Practitioner Establishment Licenses.</w:t>
      </w:r>
    </w:p>
    <w:p w14:paraId="06493177" w14:textId="77777777" w:rsidR="00884328" w:rsidRDefault="00884328" w:rsidP="00413C50">
      <w:r>
        <w:t>77</w:t>
      </w:r>
      <w:r>
        <w:noBreakHyphen/>
        <w:t>151. Residential Licensed Establishments.</w:t>
      </w:r>
    </w:p>
    <w:p w14:paraId="40FB449F" w14:textId="77777777" w:rsidR="00884328" w:rsidRPr="001E66E9" w:rsidRDefault="00884328" w:rsidP="00413C50"/>
    <w:p w14:paraId="02846FEB" w14:textId="77777777" w:rsidR="00884328" w:rsidRPr="00401C51" w:rsidRDefault="00884328" w:rsidP="00413C50">
      <w:pPr>
        <w:rPr>
          <w:b/>
        </w:rPr>
      </w:pPr>
      <w:r>
        <w:rPr>
          <w:b/>
        </w:rPr>
        <w:t>Synopsis</w:t>
      </w:r>
      <w:r w:rsidRPr="00401C51">
        <w:rPr>
          <w:b/>
        </w:rPr>
        <w:t>:</w:t>
      </w:r>
    </w:p>
    <w:p w14:paraId="2DC629EB" w14:textId="77777777" w:rsidR="00884328" w:rsidRDefault="00884328" w:rsidP="00413C50"/>
    <w:p w14:paraId="2642E1E9" w14:textId="77777777" w:rsidR="00884328" w:rsidRDefault="00884328" w:rsidP="00413C50">
      <w:pPr>
        <w:rPr>
          <w:bCs/>
        </w:rPr>
      </w:pPr>
      <w:r>
        <w:rPr>
          <w:bCs/>
        </w:rPr>
        <w:tab/>
      </w:r>
      <w:r w:rsidRPr="00784E07">
        <w:rPr>
          <w:bCs/>
        </w:rPr>
        <w:t xml:space="preserve">The South Carolina </w:t>
      </w:r>
      <w:r>
        <w:rPr>
          <w:bCs/>
        </w:rPr>
        <w:t>Board of Massage Therapy</w:t>
      </w:r>
      <w:r w:rsidRPr="00784E07">
        <w:rPr>
          <w:bCs/>
        </w:rPr>
        <w:t xml:space="preserve"> proposes to amend its regulations </w:t>
      </w:r>
      <w:r>
        <w:rPr>
          <w:bCs/>
        </w:rPr>
        <w:t>to update and revise regulations regarding massage therapy, to include but not be limited to endorsement, license renewal, massage therapy establishments and sole practitioner establishments.</w:t>
      </w:r>
    </w:p>
    <w:p w14:paraId="6EE16156" w14:textId="77777777" w:rsidR="00884328" w:rsidRDefault="00884328" w:rsidP="00413C50"/>
    <w:p w14:paraId="57601B33" w14:textId="77777777" w:rsidR="00884328" w:rsidRDefault="00884328" w:rsidP="00413C50">
      <w:r>
        <w:tab/>
      </w:r>
      <w:r w:rsidRPr="003973EA">
        <w:t xml:space="preserve">A Notice of Drafting was published in the </w:t>
      </w:r>
      <w:r w:rsidRPr="00951461">
        <w:rPr>
          <w:i/>
        </w:rPr>
        <w:t>State Register</w:t>
      </w:r>
      <w:r w:rsidRPr="003973EA">
        <w:t xml:space="preserve"> on</w:t>
      </w:r>
      <w:r>
        <w:t xml:space="preserve"> April 25, 2025.</w:t>
      </w:r>
    </w:p>
    <w:p w14:paraId="1D005037" w14:textId="77777777" w:rsidR="00884328" w:rsidRDefault="00884328" w:rsidP="00413C50"/>
    <w:p w14:paraId="30121BE8" w14:textId="77777777" w:rsidR="00884328" w:rsidRDefault="00884328" w:rsidP="00413C50">
      <w:r>
        <w:rPr>
          <w:b/>
          <w:bCs/>
        </w:rPr>
        <w:t>Instructions:</w:t>
      </w:r>
    </w:p>
    <w:p w14:paraId="41C56986" w14:textId="77777777" w:rsidR="00884328" w:rsidRDefault="00884328" w:rsidP="00413C50"/>
    <w:p w14:paraId="4D6E1624" w14:textId="77777777" w:rsidR="00884328" w:rsidRPr="00B761D2" w:rsidRDefault="00884328" w:rsidP="00413C50">
      <w:r>
        <w:tab/>
        <w:t>Print the regulation as shown below. All other items remain unchanged.</w:t>
      </w:r>
    </w:p>
    <w:p w14:paraId="13544277" w14:textId="77777777" w:rsidR="00884328" w:rsidRPr="00127E54" w:rsidRDefault="00884328" w:rsidP="00413C50">
      <w:pPr>
        <w:rPr>
          <w:bCs/>
        </w:rPr>
      </w:pPr>
    </w:p>
    <w:p w14:paraId="6B580275" w14:textId="77777777" w:rsidR="00884328" w:rsidRDefault="00884328" w:rsidP="00413C50">
      <w:pPr>
        <w:rPr>
          <w:b/>
        </w:rPr>
      </w:pPr>
    </w:p>
    <w:p w14:paraId="389C1E32" w14:textId="31571F06" w:rsidR="00884328" w:rsidRDefault="00884328" w:rsidP="00413C50">
      <w:pPr>
        <w:rPr>
          <w:rFonts w:cs="Times New Roman"/>
          <w:strike/>
          <w:kern w:val="0"/>
        </w:rPr>
      </w:pPr>
      <w:r w:rsidRPr="00884328">
        <w:rPr>
          <w:rFonts w:cs="Times New Roman"/>
          <w:strike/>
          <w:kern w:val="0"/>
        </w:rPr>
        <w:t>Indicates Matter Stricken</w:t>
      </w:r>
    </w:p>
    <w:p w14:paraId="2A60A248" w14:textId="583E77B3" w:rsidR="00884328" w:rsidRDefault="00884328" w:rsidP="00413C50">
      <w:pPr>
        <w:rPr>
          <w:rFonts w:cs="Times New Roman"/>
          <w:kern w:val="0"/>
          <w:u w:val="single"/>
        </w:rPr>
      </w:pPr>
      <w:r w:rsidRPr="00884328">
        <w:rPr>
          <w:rFonts w:cs="Times New Roman"/>
          <w:kern w:val="0"/>
          <w:u w:val="single"/>
        </w:rPr>
        <w:t>Indicates New Matter</w:t>
      </w:r>
    </w:p>
    <w:p w14:paraId="0F10FE47" w14:textId="77777777" w:rsidR="00884328" w:rsidRPr="00884328" w:rsidRDefault="00884328" w:rsidP="00413C50">
      <w:pPr>
        <w:rPr>
          <w:rFonts w:cs="Times New Roman"/>
          <w:kern w:val="0"/>
          <w:u w:val="single"/>
        </w:rPr>
      </w:pPr>
    </w:p>
    <w:p w14:paraId="0ED58B8B" w14:textId="77777777" w:rsidR="00884328" w:rsidRDefault="00884328" w:rsidP="00413C50">
      <w:pPr>
        <w:rPr>
          <w:b/>
        </w:rPr>
      </w:pPr>
    </w:p>
    <w:p w14:paraId="22868B7A" w14:textId="583F48B7" w:rsidR="00884328" w:rsidRDefault="00884328" w:rsidP="00413C50">
      <w:pPr>
        <w:rPr>
          <w:b/>
        </w:rPr>
      </w:pPr>
      <w:r>
        <w:rPr>
          <w:b/>
        </w:rPr>
        <w:t>T</w:t>
      </w:r>
      <w:r w:rsidRPr="00044CFD">
        <w:rPr>
          <w:b/>
        </w:rPr>
        <w:t>ext:</w:t>
      </w:r>
    </w:p>
    <w:p w14:paraId="1EA17C4C" w14:textId="77777777" w:rsidR="00884328" w:rsidRDefault="00884328" w:rsidP="00413C50"/>
    <w:p w14:paraId="342A3332" w14:textId="77777777" w:rsidR="00884328" w:rsidRDefault="00884328" w:rsidP="00413C50">
      <w:r w:rsidRPr="00777508">
        <w:t>77</w:t>
      </w:r>
      <w:r>
        <w:noBreakHyphen/>
      </w:r>
      <w:r w:rsidRPr="00777508">
        <w:t>106. Endorsement.</w:t>
      </w:r>
    </w:p>
    <w:p w14:paraId="51FAD8DC" w14:textId="77777777" w:rsidR="00884328" w:rsidRDefault="00884328" w:rsidP="00413C50"/>
    <w:p w14:paraId="1F5E45A4" w14:textId="77777777" w:rsidR="00884328" w:rsidRDefault="00884328" w:rsidP="00413C50">
      <w:r w:rsidRPr="00777508">
        <w:tab/>
        <w:t>1. An applicant for an endorsement license must:</w:t>
      </w:r>
    </w:p>
    <w:p w14:paraId="7EA2769F" w14:textId="77777777" w:rsidR="00884328" w:rsidRDefault="00884328" w:rsidP="00413C50"/>
    <w:p w14:paraId="39ADADFE" w14:textId="77777777" w:rsidR="00884328" w:rsidRDefault="00884328" w:rsidP="00413C50">
      <w:r w:rsidRPr="00777508">
        <w:tab/>
      </w:r>
      <w:r w:rsidRPr="00777508">
        <w:tab/>
        <w:t>(a) submit proof of having a current, active and unrestricted massage therapy license in good standing issued by another state, District of Columbia, or any other United States territory, that had requirements, as of the date of initial licensure, at least substantially equivalent to the requirements in effect in South Carolina</w:t>
      </w:r>
      <w:r>
        <w:rPr>
          <w:u w:val="single"/>
        </w:rPr>
        <w:t xml:space="preserve"> at the time of application; however, substantially equivalent education may be shown by submitting proof of having taken and passed a Board</w:t>
      </w:r>
      <w:r>
        <w:rPr>
          <w:u w:val="single"/>
        </w:rPr>
        <w:noBreakHyphen/>
        <w:t>approved national examination, or another state</w:t>
      </w:r>
      <w:r w:rsidRPr="008515C9">
        <w:rPr>
          <w:u w:val="single"/>
        </w:rPr>
        <w:t>’</w:t>
      </w:r>
      <w:r>
        <w:rPr>
          <w:u w:val="single"/>
        </w:rPr>
        <w:t>s licensing examination, as approved by the Board</w:t>
      </w:r>
      <w:r w:rsidRPr="00777508">
        <w:t>; and</w:t>
      </w:r>
    </w:p>
    <w:p w14:paraId="56F8C968" w14:textId="77777777" w:rsidR="00884328" w:rsidRDefault="00884328" w:rsidP="00413C50"/>
    <w:p w14:paraId="21537659" w14:textId="77777777" w:rsidR="00884328" w:rsidRDefault="00884328" w:rsidP="00413C50">
      <w:r w:rsidRPr="00777508">
        <w:tab/>
      </w:r>
      <w:r w:rsidRPr="00777508">
        <w:tab/>
        <w:t>(b) submit a completed application on a Board</w:t>
      </w:r>
      <w:r>
        <w:noBreakHyphen/>
      </w:r>
      <w:r w:rsidRPr="00777508">
        <w:t>approved form along with the required fees; and</w:t>
      </w:r>
    </w:p>
    <w:p w14:paraId="19EFE676" w14:textId="77777777" w:rsidR="00884328" w:rsidRDefault="00884328" w:rsidP="00413C50"/>
    <w:p w14:paraId="23690433" w14:textId="77777777" w:rsidR="00884328" w:rsidRDefault="00884328" w:rsidP="00413C50">
      <w:r w:rsidRPr="00777508">
        <w:tab/>
      </w:r>
      <w:r w:rsidRPr="00777508">
        <w:tab/>
        <w:t>(c) provide a state criminal history records check, supported by fingerprints, by the South Carolina Law Enforcement Division, and a national criminal records check, supported by fingerprints, by the Federal Bureau of Investigation. The results of the records checks shall be handled in accordance with the requirements for initial application criminal history records checks.</w:t>
      </w:r>
    </w:p>
    <w:p w14:paraId="0ED2EF5F" w14:textId="77777777" w:rsidR="00884328" w:rsidRDefault="00884328" w:rsidP="00413C50"/>
    <w:p w14:paraId="4D35D6FE" w14:textId="77777777" w:rsidR="00884328" w:rsidRPr="0039452C" w:rsidRDefault="00884328" w:rsidP="00413C50">
      <w:pPr>
        <w:rPr>
          <w:u w:val="single"/>
        </w:rPr>
      </w:pPr>
      <w:r w:rsidRPr="00777508">
        <w:lastRenderedPageBreak/>
        <w:tab/>
        <w:t xml:space="preserve">2. </w:t>
      </w:r>
      <w:r w:rsidRPr="008515C9">
        <w:rPr>
          <w:strike/>
        </w:rPr>
        <w:t>Substantially equivalent education may be shown by providing proof of having taken and passed a Board</w:t>
      </w:r>
      <w:r w:rsidRPr="008515C9">
        <w:rPr>
          <w:strike/>
        </w:rPr>
        <w:noBreakHyphen/>
        <w:t xml:space="preserve">approved national </w:t>
      </w:r>
      <w:proofErr w:type="spellStart"/>
      <w:r w:rsidRPr="008515C9">
        <w:rPr>
          <w:strike/>
        </w:rPr>
        <w:t>examination.</w:t>
      </w:r>
      <w:r>
        <w:rPr>
          <w:u w:val="single"/>
        </w:rPr>
        <w:t>An</w:t>
      </w:r>
      <w:proofErr w:type="spellEnd"/>
      <w:r>
        <w:rPr>
          <w:u w:val="single"/>
        </w:rPr>
        <w:t xml:space="preserve"> applicant seeking endorsement licensure who was licensed in another state, the District of Columbia, or any other United States territory prior to July 1, 2007, is deemed to have met substantially equivalent education and examination licensing standards, and is eligible for endorsement licensure upon meeting the requirements in (1)(b) and (c) above, and submitting proof of having a current, active and unrestricted massage therapy license in good standing issued by another state, the District of Columbia, or any other United States territory.</w:t>
      </w:r>
    </w:p>
    <w:p w14:paraId="2585B30E" w14:textId="77777777" w:rsidR="00884328" w:rsidRDefault="00884328" w:rsidP="00413C50"/>
    <w:p w14:paraId="1532DF54" w14:textId="77777777" w:rsidR="00884328" w:rsidRDefault="00884328" w:rsidP="00413C50">
      <w:r w:rsidRPr="00777508">
        <w:t>77</w:t>
      </w:r>
      <w:r>
        <w:noBreakHyphen/>
      </w:r>
      <w:r w:rsidRPr="00777508">
        <w:t xml:space="preserve">107. </w:t>
      </w:r>
      <w:r>
        <w:rPr>
          <w:u w:val="single"/>
        </w:rPr>
        <w:t xml:space="preserve">License Renewal, and </w:t>
      </w:r>
      <w:r w:rsidRPr="00777508">
        <w:t>Reactivation of an Inactive License.</w:t>
      </w:r>
    </w:p>
    <w:p w14:paraId="5BAE58AE" w14:textId="77777777" w:rsidR="00884328" w:rsidRDefault="00884328" w:rsidP="00413C50"/>
    <w:p w14:paraId="4A8CE9C5" w14:textId="77777777" w:rsidR="00884328" w:rsidRDefault="00884328" w:rsidP="00413C50">
      <w:r w:rsidRPr="00777508">
        <w:tab/>
      </w:r>
      <w:r>
        <w:rPr>
          <w:u w:val="single"/>
        </w:rPr>
        <w:t>1.</w:t>
      </w:r>
      <w:r w:rsidRPr="008515C9">
        <w:tab/>
      </w:r>
      <w:r w:rsidRPr="00777508">
        <w:t>A licensee seeking to</w:t>
      </w:r>
      <w:r>
        <w:t xml:space="preserve"> </w:t>
      </w:r>
      <w:r>
        <w:rPr>
          <w:u w:val="single"/>
        </w:rPr>
        <w:t>renew a</w:t>
      </w:r>
      <w:r w:rsidRPr="0039452C">
        <w:rPr>
          <w:strike/>
        </w:rPr>
        <w:t xml:space="preserve"> reactivate an inactive</w:t>
      </w:r>
      <w:r w:rsidRPr="0039452C">
        <w:t xml:space="preserve"> </w:t>
      </w:r>
      <w:r w:rsidRPr="00777508">
        <w:t>license must:</w:t>
      </w:r>
    </w:p>
    <w:p w14:paraId="1AF10D40" w14:textId="77777777" w:rsidR="00884328" w:rsidRDefault="00884328" w:rsidP="00413C50"/>
    <w:p w14:paraId="2C960C32" w14:textId="77777777" w:rsidR="00884328" w:rsidRDefault="00884328" w:rsidP="00413C50">
      <w:r w:rsidRPr="00777508">
        <w:tab/>
      </w:r>
      <w:r w:rsidRPr="00777508">
        <w:tab/>
      </w:r>
      <w:r w:rsidRPr="0039452C">
        <w:rPr>
          <w:strike/>
        </w:rPr>
        <w:t>1</w:t>
      </w:r>
      <w:r>
        <w:rPr>
          <w:strike/>
        </w:rPr>
        <w:t>.</w:t>
      </w:r>
      <w:r w:rsidRPr="0039452C">
        <w:t>(</w:t>
      </w:r>
      <w:r>
        <w:rPr>
          <w:u w:val="single"/>
        </w:rPr>
        <w:t>a)</w:t>
      </w:r>
      <w:r w:rsidRPr="00777508">
        <w:t xml:space="preserve"> submit a complete application on a Board</w:t>
      </w:r>
      <w:r>
        <w:noBreakHyphen/>
      </w:r>
      <w:r w:rsidRPr="00777508">
        <w:t>approved form</w:t>
      </w:r>
      <w:r>
        <w:rPr>
          <w:u w:val="single"/>
        </w:rPr>
        <w:t xml:space="preserve"> with the required fee</w:t>
      </w:r>
      <w:r w:rsidRPr="00777508">
        <w:t>; and</w:t>
      </w:r>
    </w:p>
    <w:p w14:paraId="135E99A2" w14:textId="77777777" w:rsidR="00884328" w:rsidRDefault="00884328" w:rsidP="00413C50"/>
    <w:p w14:paraId="2F38898F" w14:textId="77777777" w:rsidR="00884328" w:rsidRDefault="00884328" w:rsidP="00413C50">
      <w:r w:rsidRPr="00777508">
        <w:tab/>
      </w:r>
      <w:r w:rsidRPr="00777508">
        <w:tab/>
      </w:r>
      <w:r w:rsidRPr="0039452C">
        <w:rPr>
          <w:strike/>
        </w:rPr>
        <w:t>2.</w:t>
      </w:r>
      <w:r>
        <w:rPr>
          <w:u w:val="single"/>
        </w:rPr>
        <w:t>(b)</w:t>
      </w:r>
      <w:r w:rsidRPr="00777508">
        <w:t xml:space="preserve"> submit proof of having completed </w:t>
      </w:r>
      <w:proofErr w:type="spellStart"/>
      <w:r w:rsidRPr="0039452C">
        <w:rPr>
          <w:strike/>
        </w:rPr>
        <w:t>six</w:t>
      </w:r>
      <w:r>
        <w:rPr>
          <w:u w:val="single"/>
        </w:rPr>
        <w:t>twelve</w:t>
      </w:r>
      <w:proofErr w:type="spellEnd"/>
      <w:r w:rsidRPr="00777508">
        <w:t xml:space="preserve"> hours of </w:t>
      </w:r>
      <w:r>
        <w:rPr>
          <w:u w:val="single"/>
        </w:rPr>
        <w:t>Board</w:t>
      </w:r>
      <w:r>
        <w:rPr>
          <w:u w:val="single"/>
        </w:rPr>
        <w:noBreakHyphen/>
        <w:t xml:space="preserve">approved </w:t>
      </w:r>
      <w:r w:rsidRPr="00777508">
        <w:t xml:space="preserve">continuing education </w:t>
      </w:r>
      <w:r w:rsidRPr="0039452C">
        <w:rPr>
          <w:strike/>
        </w:rPr>
        <w:t xml:space="preserve">for each year the license is inactive; </w:t>
      </w:r>
      <w:proofErr w:type="spellStart"/>
      <w:r w:rsidRPr="0039452C">
        <w:rPr>
          <w:strike/>
        </w:rPr>
        <w:t>and</w:t>
      </w:r>
      <w:r>
        <w:rPr>
          <w:u w:val="single"/>
        </w:rPr>
        <w:t>during</w:t>
      </w:r>
      <w:proofErr w:type="spellEnd"/>
      <w:r>
        <w:rPr>
          <w:u w:val="single"/>
        </w:rPr>
        <w:t xml:space="preserve"> the licensure period.</w:t>
      </w:r>
    </w:p>
    <w:p w14:paraId="27020526" w14:textId="77777777" w:rsidR="00884328" w:rsidRDefault="00884328" w:rsidP="00413C50"/>
    <w:p w14:paraId="138C4040" w14:textId="77777777" w:rsidR="00884328" w:rsidRPr="008515C9" w:rsidRDefault="00884328" w:rsidP="00413C50">
      <w:pPr>
        <w:rPr>
          <w:u w:val="single"/>
        </w:rPr>
      </w:pPr>
      <w:r w:rsidRPr="008515C9">
        <w:tab/>
      </w:r>
      <w:r w:rsidRPr="008515C9">
        <w:rPr>
          <w:u w:val="single"/>
        </w:rPr>
        <w:t>2.</w:t>
      </w:r>
      <w:r w:rsidRPr="008515C9">
        <w:rPr>
          <w:u w:val="single"/>
        </w:rPr>
        <w:tab/>
        <w:t>An individual seeking to reactivate an inactive license must:</w:t>
      </w:r>
    </w:p>
    <w:p w14:paraId="068988A2" w14:textId="77777777" w:rsidR="00884328" w:rsidRPr="008515C9" w:rsidRDefault="00884328" w:rsidP="00413C50">
      <w:pPr>
        <w:rPr>
          <w:u w:val="single"/>
        </w:rPr>
      </w:pPr>
    </w:p>
    <w:p w14:paraId="654B56DC" w14:textId="77777777" w:rsidR="00884328" w:rsidRPr="008515C9" w:rsidRDefault="00884328" w:rsidP="00413C50">
      <w:pPr>
        <w:rPr>
          <w:u w:val="single"/>
        </w:rPr>
      </w:pPr>
      <w:r w:rsidRPr="008515C9">
        <w:tab/>
      </w:r>
      <w:r w:rsidRPr="008515C9">
        <w:tab/>
      </w:r>
      <w:r w:rsidRPr="008515C9">
        <w:rPr>
          <w:u w:val="single"/>
        </w:rPr>
        <w:t>(a) submit a complete application on a Board</w:t>
      </w:r>
      <w:r w:rsidRPr="008515C9">
        <w:rPr>
          <w:u w:val="single"/>
        </w:rPr>
        <w:noBreakHyphen/>
        <w:t>approved form with the required fee; and</w:t>
      </w:r>
    </w:p>
    <w:p w14:paraId="165035FA" w14:textId="77777777" w:rsidR="00884328" w:rsidRPr="008515C9" w:rsidRDefault="00884328" w:rsidP="00413C50">
      <w:pPr>
        <w:rPr>
          <w:u w:val="single"/>
        </w:rPr>
      </w:pPr>
    </w:p>
    <w:p w14:paraId="1E337B8F" w14:textId="77777777" w:rsidR="00884328" w:rsidRPr="008515C9" w:rsidRDefault="00884328" w:rsidP="00413C50">
      <w:pPr>
        <w:rPr>
          <w:u w:val="single"/>
        </w:rPr>
      </w:pPr>
      <w:r w:rsidRPr="008515C9">
        <w:tab/>
      </w:r>
      <w:r w:rsidRPr="008515C9">
        <w:tab/>
      </w:r>
      <w:r w:rsidRPr="008515C9">
        <w:rPr>
          <w:u w:val="single"/>
        </w:rPr>
        <w:t>(b) submit proof of having completed six hours of Board</w:t>
      </w:r>
      <w:r w:rsidRPr="008515C9">
        <w:rPr>
          <w:u w:val="single"/>
        </w:rPr>
        <w:noBreakHyphen/>
        <w:t>approved continuing education for each year the license is inactive; and</w:t>
      </w:r>
    </w:p>
    <w:p w14:paraId="3817D838" w14:textId="77777777" w:rsidR="00884328" w:rsidRPr="008515C9" w:rsidRDefault="00884328" w:rsidP="00413C50"/>
    <w:p w14:paraId="05CEA9D3" w14:textId="77777777" w:rsidR="00884328" w:rsidRDefault="00884328" w:rsidP="00413C50">
      <w:pPr>
        <w:rPr>
          <w:rFonts w:cs="Times New Roman"/>
        </w:rPr>
      </w:pPr>
      <w:r>
        <w:rPr>
          <w:rFonts w:cs="Times New Roman"/>
        </w:rPr>
        <w:tab/>
      </w:r>
      <w:r>
        <w:rPr>
          <w:rFonts w:cs="Times New Roman"/>
          <w:strike/>
        </w:rPr>
        <w:t>3.</w:t>
      </w:r>
      <w:r w:rsidRPr="008515C9">
        <w:rPr>
          <w:rFonts w:cs="Times New Roman"/>
          <w:u w:val="single"/>
        </w:rPr>
        <w:t>(c)</w:t>
      </w:r>
      <w:r w:rsidRPr="0039452C">
        <w:rPr>
          <w:rFonts w:cs="Times New Roman"/>
        </w:rPr>
        <w:t xml:space="preserve"> </w:t>
      </w:r>
      <w:r w:rsidRPr="00777508">
        <w:rPr>
          <w:rFonts w:cs="Times New Roman"/>
        </w:rPr>
        <w:t>provide an updated state criminal history records checks, supported by fingerprints, by the South Carolina Law Enforcement Division, and an updated national criminal record check, supported by fingerprints, by the Federal Bureau of Investigation. The results of the records checks shall be handled in accordance with the requirements for initial application criminal history records checks.</w:t>
      </w:r>
    </w:p>
    <w:p w14:paraId="6455B015" w14:textId="77777777" w:rsidR="00884328" w:rsidRDefault="00884328" w:rsidP="00413C50"/>
    <w:p w14:paraId="46510AD1" w14:textId="77777777" w:rsidR="00884328" w:rsidRDefault="00884328" w:rsidP="00413C50">
      <w:r w:rsidRPr="00777508">
        <w:t>77</w:t>
      </w:r>
      <w:r>
        <w:noBreakHyphen/>
      </w:r>
      <w:r w:rsidRPr="00777508">
        <w:t>141. Massage Therapy Establishment and Sole Practitioner Establishment Operations.</w:t>
      </w:r>
    </w:p>
    <w:p w14:paraId="2E18D110" w14:textId="77777777" w:rsidR="00884328" w:rsidRDefault="00884328" w:rsidP="00413C50"/>
    <w:p w14:paraId="09192430" w14:textId="77777777" w:rsidR="00884328" w:rsidRDefault="00884328" w:rsidP="00413C50">
      <w:r w:rsidRPr="00777508">
        <w:tab/>
        <w:t xml:space="preserve">1. Licensed massage therapy </w:t>
      </w:r>
      <w:r w:rsidRPr="0039452C">
        <w:rPr>
          <w:u w:val="single"/>
        </w:rPr>
        <w:t>establishments</w:t>
      </w:r>
      <w:r>
        <w:t xml:space="preserve"> </w:t>
      </w:r>
      <w:r w:rsidRPr="00777508">
        <w:t xml:space="preserve">and </w:t>
      </w:r>
      <w:r>
        <w:rPr>
          <w:u w:val="single"/>
        </w:rPr>
        <w:t xml:space="preserve">licensed </w:t>
      </w:r>
      <w:r w:rsidRPr="00777508">
        <w:t>sole practitioner establishments shall comply with the following requirements:</w:t>
      </w:r>
    </w:p>
    <w:p w14:paraId="248E02F5" w14:textId="77777777" w:rsidR="00884328" w:rsidRDefault="00884328" w:rsidP="00413C50"/>
    <w:p w14:paraId="77142959" w14:textId="77777777" w:rsidR="00884328" w:rsidRDefault="00884328" w:rsidP="00413C50">
      <w:r w:rsidRPr="00777508">
        <w:tab/>
      </w:r>
      <w:r w:rsidRPr="00777508">
        <w:tab/>
        <w:t>(a) The establishment license, and the licenses of all licensed massage therapists practicing in the establishment, shall be conspicuously displayed in public view.</w:t>
      </w:r>
    </w:p>
    <w:p w14:paraId="5B832BF3" w14:textId="77777777" w:rsidR="00884328" w:rsidRDefault="00884328" w:rsidP="00413C50"/>
    <w:p w14:paraId="5239E36A" w14:textId="77777777" w:rsidR="00884328" w:rsidRDefault="00884328" w:rsidP="00413C50">
      <w:r w:rsidRPr="00777508">
        <w:tab/>
      </w:r>
      <w:r w:rsidRPr="00777508">
        <w:tab/>
        <w:t>(b) The establishment must comply with all applicable state and local building code requirements and fire safety codes.</w:t>
      </w:r>
    </w:p>
    <w:p w14:paraId="11D6470E" w14:textId="77777777" w:rsidR="00884328" w:rsidRDefault="00884328" w:rsidP="00413C50"/>
    <w:p w14:paraId="6470ACFD" w14:textId="77777777" w:rsidR="00884328" w:rsidRDefault="00884328" w:rsidP="00413C50">
      <w:r w:rsidRPr="00777508">
        <w:tab/>
      </w:r>
      <w:r w:rsidRPr="00777508">
        <w:tab/>
        <w:t>(c) Each establishment shall have adequately</w:t>
      </w:r>
      <w:r>
        <w:noBreakHyphen/>
      </w:r>
      <w:r w:rsidRPr="00777508">
        <w:t>equipped restroom facilities accessible for use by the licensees, employees, and clients.</w:t>
      </w:r>
    </w:p>
    <w:p w14:paraId="51A95BFF" w14:textId="77777777" w:rsidR="00884328" w:rsidRDefault="00884328" w:rsidP="00413C50"/>
    <w:p w14:paraId="693B29AA" w14:textId="77777777" w:rsidR="00884328" w:rsidRDefault="00884328" w:rsidP="00413C50">
      <w:r w:rsidRPr="00777508">
        <w:tab/>
      </w:r>
      <w:r w:rsidRPr="00777508">
        <w:tab/>
        <w:t>(d) The establishment shall have available either a sink with running water, soap, and sanitary towels for hand drying, or hand sanitizer or other sanitizing hand cleaning solution designed to clean without the use of running water.</w:t>
      </w:r>
    </w:p>
    <w:p w14:paraId="1DBA4B68" w14:textId="77777777" w:rsidR="00884328" w:rsidRDefault="00884328" w:rsidP="00413C50"/>
    <w:p w14:paraId="0EEB96CC" w14:textId="77777777" w:rsidR="00884328" w:rsidRDefault="00884328" w:rsidP="00413C50">
      <w:r w:rsidRPr="00777508">
        <w:tab/>
      </w:r>
      <w:r w:rsidRPr="00777508">
        <w:tab/>
        <w:t>(e) The establishment and equipment shall be kept clean and in good repair.</w:t>
      </w:r>
    </w:p>
    <w:p w14:paraId="7F04C48E" w14:textId="77777777" w:rsidR="00884328" w:rsidRDefault="00884328" w:rsidP="00413C50"/>
    <w:p w14:paraId="74F5817B" w14:textId="77777777" w:rsidR="00884328" w:rsidRPr="0039452C" w:rsidRDefault="00884328" w:rsidP="00413C50">
      <w:pPr>
        <w:rPr>
          <w:u w:val="single"/>
        </w:rPr>
      </w:pPr>
      <w:r w:rsidRPr="00777508">
        <w:tab/>
      </w:r>
      <w:r w:rsidRPr="00777508">
        <w:tab/>
        <w:t>(f) Clean linens, such as gowns, towels, sheets, or drapes, shall be used on each client.</w:t>
      </w:r>
      <w:r>
        <w:t xml:space="preserve"> </w:t>
      </w:r>
      <w:proofErr w:type="gramStart"/>
      <w:r>
        <w:rPr>
          <w:u w:val="single"/>
        </w:rPr>
        <w:t>Linens</w:t>
      </w:r>
      <w:proofErr w:type="gramEnd"/>
      <w:r>
        <w:rPr>
          <w:u w:val="single"/>
        </w:rPr>
        <w:t xml:space="preserve"> must be laundered </w:t>
      </w:r>
      <w:proofErr w:type="gramStart"/>
      <w:r>
        <w:rPr>
          <w:u w:val="single"/>
        </w:rPr>
        <w:t>before re</w:t>
      </w:r>
      <w:r>
        <w:rPr>
          <w:u w:val="single"/>
        </w:rPr>
        <w:noBreakHyphen/>
        <w:t>use</w:t>
      </w:r>
      <w:proofErr w:type="gramEnd"/>
      <w:r>
        <w:rPr>
          <w:u w:val="single"/>
        </w:rPr>
        <w:t>. Clean linens must be stored separately from used or dirty linens.</w:t>
      </w:r>
    </w:p>
    <w:p w14:paraId="09753C4E" w14:textId="77777777" w:rsidR="00884328" w:rsidRDefault="00884328" w:rsidP="00413C50"/>
    <w:p w14:paraId="7197301C" w14:textId="77777777" w:rsidR="00884328" w:rsidRPr="0039452C" w:rsidRDefault="00884328" w:rsidP="00413C50">
      <w:pPr>
        <w:rPr>
          <w:u w:val="single"/>
        </w:rPr>
      </w:pPr>
      <w:r w:rsidRPr="00777508">
        <w:tab/>
      </w:r>
      <w:r w:rsidRPr="00777508">
        <w:tab/>
        <w:t>(g) Sheets</w:t>
      </w:r>
      <w:r>
        <w:rPr>
          <w:u w:val="single"/>
        </w:rPr>
        <w:t>,</w:t>
      </w:r>
      <w:r w:rsidRPr="00777508">
        <w:t xml:space="preserve"> towels,</w:t>
      </w:r>
      <w:r w:rsidRPr="0039452C">
        <w:rPr>
          <w:u w:val="single"/>
        </w:rPr>
        <w:t xml:space="preserve"> </w:t>
      </w:r>
      <w:r>
        <w:rPr>
          <w:u w:val="single"/>
        </w:rPr>
        <w:t>fleece,</w:t>
      </w:r>
      <w:r w:rsidRPr="0039452C">
        <w:rPr>
          <w:u w:val="single"/>
        </w:rPr>
        <w:t xml:space="preserve"> </w:t>
      </w:r>
      <w:r w:rsidRPr="00777508">
        <w:t xml:space="preserve">or other materials used as table coverings shall be changed after each </w:t>
      </w:r>
      <w:proofErr w:type="gramStart"/>
      <w:r w:rsidRPr="00777508">
        <w:t>client, and</w:t>
      </w:r>
      <w:proofErr w:type="gramEnd"/>
      <w:r w:rsidRPr="00777508">
        <w:t xml:space="preserve"> </w:t>
      </w:r>
      <w:r>
        <w:rPr>
          <w:u w:val="single"/>
        </w:rPr>
        <w:t xml:space="preserve">laundered </w:t>
      </w:r>
      <w:proofErr w:type="gramStart"/>
      <w:r>
        <w:rPr>
          <w:u w:val="single"/>
        </w:rPr>
        <w:t>before re</w:t>
      </w:r>
      <w:r>
        <w:rPr>
          <w:u w:val="single"/>
        </w:rPr>
        <w:noBreakHyphen/>
        <w:t>use</w:t>
      </w:r>
      <w:proofErr w:type="gramEnd"/>
      <w:r>
        <w:rPr>
          <w:u w:val="single"/>
        </w:rPr>
        <w:t xml:space="preserve">. </w:t>
      </w:r>
      <w:r w:rsidRPr="0039452C">
        <w:rPr>
          <w:strike/>
        </w:rPr>
        <w:t xml:space="preserve">the </w:t>
      </w:r>
      <w:proofErr w:type="spellStart"/>
      <w:r w:rsidRPr="0039452C">
        <w:rPr>
          <w:strike/>
        </w:rPr>
        <w:t>m</w:t>
      </w:r>
      <w:r>
        <w:rPr>
          <w:u w:val="single"/>
        </w:rPr>
        <w:t>M</w:t>
      </w:r>
      <w:r w:rsidRPr="0039452C">
        <w:t>assage</w:t>
      </w:r>
      <w:proofErr w:type="spellEnd"/>
      <w:r w:rsidRPr="00777508">
        <w:t xml:space="preserve"> table surfaces shall be disinfected after each use</w:t>
      </w:r>
      <w:r>
        <w:t xml:space="preserve">. </w:t>
      </w:r>
      <w:r>
        <w:rPr>
          <w:u w:val="single"/>
        </w:rPr>
        <w:t>If table coverings are non</w:t>
      </w:r>
      <w:r>
        <w:rPr>
          <w:u w:val="single"/>
        </w:rPr>
        <w:noBreakHyphen/>
        <w:t>removable or cannot be laundered or disinfected, a non</w:t>
      </w:r>
      <w:r>
        <w:rPr>
          <w:u w:val="single"/>
        </w:rPr>
        <w:noBreakHyphen/>
        <w:t>porous barrier must be used on top of the coverings. The non</w:t>
      </w:r>
      <w:r>
        <w:rPr>
          <w:u w:val="single"/>
        </w:rPr>
        <w:noBreakHyphen/>
        <w:t>porous barrier must be changed or disinfected after each client.</w:t>
      </w:r>
    </w:p>
    <w:p w14:paraId="501D8FB7" w14:textId="77777777" w:rsidR="00884328" w:rsidRDefault="00884328" w:rsidP="00413C50"/>
    <w:p w14:paraId="191F4EE7" w14:textId="77777777" w:rsidR="00884328" w:rsidRPr="0039452C" w:rsidRDefault="00884328" w:rsidP="00413C50">
      <w:pPr>
        <w:rPr>
          <w:strike/>
        </w:rPr>
      </w:pPr>
      <w:r w:rsidRPr="00777508">
        <w:tab/>
      </w:r>
      <w:r w:rsidRPr="008515C9">
        <w:tab/>
      </w:r>
      <w:r w:rsidRPr="0039452C">
        <w:rPr>
          <w:strike/>
        </w:rPr>
        <w:t>(h) Linens must be laundered before re</w:t>
      </w:r>
      <w:r>
        <w:rPr>
          <w:strike/>
        </w:rPr>
        <w:noBreakHyphen/>
      </w:r>
      <w:r w:rsidRPr="0039452C">
        <w:rPr>
          <w:strike/>
        </w:rPr>
        <w:t>use.</w:t>
      </w:r>
    </w:p>
    <w:p w14:paraId="6122AB37" w14:textId="77777777" w:rsidR="00884328" w:rsidRDefault="00884328" w:rsidP="00413C50"/>
    <w:p w14:paraId="0A0F38C5" w14:textId="77777777" w:rsidR="00884328" w:rsidRDefault="00884328" w:rsidP="00413C50">
      <w:r w:rsidRPr="00777508">
        <w:tab/>
      </w:r>
      <w:r w:rsidRPr="00777508">
        <w:tab/>
        <w:t>(</w:t>
      </w:r>
      <w:proofErr w:type="spellStart"/>
      <w:r w:rsidRPr="0039452C">
        <w:rPr>
          <w:strike/>
        </w:rPr>
        <w:t>i</w:t>
      </w:r>
      <w:r>
        <w:rPr>
          <w:u w:val="single"/>
        </w:rPr>
        <w:t>h</w:t>
      </w:r>
      <w:proofErr w:type="spellEnd"/>
      <w:r w:rsidRPr="00777508">
        <w:t>) Massage oils, lubricants, and lotions shall be stored in enclosed containers and shall be dispensed from clean containers in such a manner as to prevent contamination. The outside of the containers shall be cleaned after each use to prevent cross</w:t>
      </w:r>
      <w:r>
        <w:noBreakHyphen/>
      </w:r>
      <w:r w:rsidRPr="00777508">
        <w:t>contamination.</w:t>
      </w:r>
    </w:p>
    <w:p w14:paraId="0501A49A" w14:textId="77777777" w:rsidR="00884328" w:rsidRDefault="00884328" w:rsidP="00413C50"/>
    <w:p w14:paraId="2B1462EA" w14:textId="77777777" w:rsidR="00884328" w:rsidRPr="0039452C" w:rsidRDefault="00884328" w:rsidP="00413C50">
      <w:r>
        <w:tab/>
      </w:r>
      <w:r>
        <w:tab/>
      </w:r>
      <w:r>
        <w:rPr>
          <w:u w:val="single"/>
        </w:rPr>
        <w:t>(</w:t>
      </w:r>
      <w:proofErr w:type="spellStart"/>
      <w:r>
        <w:rPr>
          <w:u w:val="single"/>
        </w:rPr>
        <w:t>i</w:t>
      </w:r>
      <w:proofErr w:type="spellEnd"/>
      <w:r>
        <w:rPr>
          <w:u w:val="single"/>
        </w:rPr>
        <w:t>) All tools and implements used by the therapist must be cleaned and/or disinfected after each use.</w:t>
      </w:r>
    </w:p>
    <w:p w14:paraId="482382F9" w14:textId="77777777" w:rsidR="00884328" w:rsidRDefault="00884328" w:rsidP="00413C50"/>
    <w:p w14:paraId="15646DBD" w14:textId="77777777" w:rsidR="00884328" w:rsidRDefault="00884328" w:rsidP="00413C50">
      <w:r w:rsidRPr="00777508">
        <w:tab/>
      </w:r>
      <w:r w:rsidRPr="00777508">
        <w:tab/>
        <w:t>(j) If client treatment records are kept, they shall be maintained in a manner to safeguard the confidentiality of the records, in accordance with applicable laws.</w:t>
      </w:r>
    </w:p>
    <w:p w14:paraId="48D2B8FC" w14:textId="77777777" w:rsidR="00884328" w:rsidRDefault="00884328" w:rsidP="00413C50"/>
    <w:p w14:paraId="570F86C5" w14:textId="77777777" w:rsidR="00884328" w:rsidRDefault="00884328" w:rsidP="00413C50">
      <w:r w:rsidRPr="00777508">
        <w:tab/>
        <w:t>2. Regarding known infections or communicable diseases or conditions of either the client or the massage therapist, the therapist must employ appropriate Standard Universal Precautions.</w:t>
      </w:r>
    </w:p>
    <w:p w14:paraId="09B20AA3" w14:textId="77777777" w:rsidR="00884328" w:rsidRDefault="00884328" w:rsidP="00413C50"/>
    <w:p w14:paraId="0E4EC53E" w14:textId="77777777" w:rsidR="00884328" w:rsidRPr="0039452C" w:rsidRDefault="00884328" w:rsidP="00413C50">
      <w:pPr>
        <w:rPr>
          <w:u w:val="single"/>
        </w:rPr>
      </w:pPr>
      <w:r>
        <w:tab/>
      </w:r>
      <w:r>
        <w:rPr>
          <w:u w:val="single"/>
        </w:rPr>
        <w:t>3. Beds are prohibited in massage therapy establishments and in sole practitioner establishments, and no portion of a massage therapy establishment or a sole practitioner establishment may be used as living or sleeping quarters, unless it is a sole practitioner residential licensed establishment that is in compliance with Regulation 77</w:t>
      </w:r>
      <w:r>
        <w:rPr>
          <w:u w:val="single"/>
        </w:rPr>
        <w:noBreakHyphen/>
        <w:t>151.</w:t>
      </w:r>
    </w:p>
    <w:p w14:paraId="7EF18D92" w14:textId="77777777" w:rsidR="00884328" w:rsidRDefault="00884328" w:rsidP="00413C50"/>
    <w:p w14:paraId="13D12722" w14:textId="77777777" w:rsidR="00884328" w:rsidRDefault="00884328" w:rsidP="00413C50">
      <w:r w:rsidRPr="00777508">
        <w:t>77</w:t>
      </w:r>
      <w:r>
        <w:noBreakHyphen/>
      </w:r>
      <w:r w:rsidRPr="00777508">
        <w:t>150. Sole Practitioner Establishment Licenses.</w:t>
      </w:r>
    </w:p>
    <w:p w14:paraId="59D6F806" w14:textId="77777777" w:rsidR="00884328" w:rsidRDefault="00884328" w:rsidP="00413C50">
      <w:pPr>
        <w:rPr>
          <w:rFonts w:cs="Times New Roman"/>
        </w:rPr>
      </w:pPr>
    </w:p>
    <w:p w14:paraId="26F5F29F" w14:textId="77777777" w:rsidR="00884328" w:rsidRDefault="00884328" w:rsidP="00413C50">
      <w:pPr>
        <w:rPr>
          <w:rFonts w:cs="Times New Roman"/>
        </w:rPr>
      </w:pPr>
      <w:r w:rsidRPr="00777508">
        <w:rPr>
          <w:rFonts w:cs="Times New Roman"/>
        </w:rPr>
        <w:tab/>
        <w:t xml:space="preserve">A sole practitioner establishment license is required for the fixed place of business, including but not limited to, a rental space or residence, </w:t>
      </w:r>
      <w:r>
        <w:rPr>
          <w:rFonts w:cs="Times New Roman"/>
          <w:u w:val="single"/>
        </w:rPr>
        <w:t xml:space="preserve">where the licensed massage </w:t>
      </w:r>
      <w:proofErr w:type="spellStart"/>
      <w:r w:rsidRPr="0039452C">
        <w:rPr>
          <w:rFonts w:cs="Times New Roman"/>
          <w:u w:val="single"/>
        </w:rPr>
        <w:t>therapist</w:t>
      </w:r>
      <w:r w:rsidRPr="0039452C">
        <w:rPr>
          <w:rFonts w:cs="Times New Roman"/>
          <w:strike/>
        </w:rPr>
        <w:t>that</w:t>
      </w:r>
      <w:proofErr w:type="spellEnd"/>
      <w:r w:rsidRPr="0039452C">
        <w:rPr>
          <w:rFonts w:cs="Times New Roman"/>
          <w:strike/>
        </w:rPr>
        <w:t xml:space="preserve"> is controlled by a licensed massage therapist, who is not an employee or contractor of the sole practitioner establishment, for providing</w:t>
      </w:r>
      <w:r w:rsidRPr="00777508">
        <w:rPr>
          <w:rFonts w:cs="Times New Roman"/>
        </w:rPr>
        <w:t xml:space="preserve"> </w:t>
      </w:r>
      <w:r>
        <w:rPr>
          <w:rFonts w:cs="Times New Roman"/>
          <w:u w:val="single"/>
        </w:rPr>
        <w:t xml:space="preserve">provides </w:t>
      </w:r>
      <w:r w:rsidRPr="00777508">
        <w:rPr>
          <w:rFonts w:cs="Times New Roman"/>
        </w:rPr>
        <w:t xml:space="preserve">massage therapy services to clients who come to that specific location to receive those services. A sole practitioner establishment must </w:t>
      </w:r>
      <w:r>
        <w:rPr>
          <w:rFonts w:cs="Times New Roman"/>
          <w:u w:val="single"/>
        </w:rPr>
        <w:t xml:space="preserve">be controlled by a licensed massage therapist who is not an employee or contractor of the sole practitioner establishment. A massage therapist controlling a sole practitioner establishment cannot contract with or employ another licensed massage therapist to work in that sole practitioner establishment. The sole practitioner establishment must </w:t>
      </w:r>
      <w:r w:rsidRPr="00777508">
        <w:rPr>
          <w:rFonts w:cs="Times New Roman"/>
        </w:rPr>
        <w:t>comply with the Board</w:t>
      </w:r>
      <w:r w:rsidRPr="008515C9">
        <w:rPr>
          <w:rFonts w:cs="Times New Roman"/>
        </w:rPr>
        <w:t>’</w:t>
      </w:r>
      <w:r w:rsidRPr="00777508">
        <w:rPr>
          <w:rFonts w:cs="Times New Roman"/>
        </w:rPr>
        <w:t>s establishment licensing, operation, and inspection requirements.</w:t>
      </w:r>
    </w:p>
    <w:p w14:paraId="44697B94" w14:textId="77777777" w:rsidR="00884328" w:rsidRDefault="00884328" w:rsidP="00413C50"/>
    <w:p w14:paraId="1DB6B0FD" w14:textId="77777777" w:rsidR="00884328" w:rsidRDefault="00884328" w:rsidP="00413C50">
      <w:r w:rsidRPr="00777508">
        <w:t>77</w:t>
      </w:r>
      <w:r>
        <w:noBreakHyphen/>
      </w:r>
      <w:r w:rsidRPr="00777508">
        <w:t>151. Residential Licensed Establishments.</w:t>
      </w:r>
    </w:p>
    <w:p w14:paraId="04B093AF" w14:textId="77777777" w:rsidR="00884328" w:rsidRDefault="00884328" w:rsidP="00413C50"/>
    <w:p w14:paraId="051E55C7" w14:textId="77777777" w:rsidR="00884328" w:rsidRPr="0039452C" w:rsidRDefault="00884328" w:rsidP="00413C50">
      <w:pPr>
        <w:rPr>
          <w:u w:val="single"/>
        </w:rPr>
      </w:pPr>
      <w:r w:rsidRPr="00777508">
        <w:tab/>
        <w:t xml:space="preserve">A licensed </w:t>
      </w:r>
      <w:r>
        <w:rPr>
          <w:u w:val="single"/>
        </w:rPr>
        <w:t xml:space="preserve">sole practitioner </w:t>
      </w:r>
      <w:r w:rsidRPr="00777508">
        <w:t xml:space="preserve">establishment may be operated in the residence of </w:t>
      </w:r>
      <w:proofErr w:type="spellStart"/>
      <w:r w:rsidRPr="0039452C">
        <w:rPr>
          <w:strike/>
        </w:rPr>
        <w:t>a</w:t>
      </w:r>
      <w:r>
        <w:rPr>
          <w:u w:val="single"/>
        </w:rPr>
        <w:t>that</w:t>
      </w:r>
      <w:proofErr w:type="spellEnd"/>
      <w:r w:rsidRPr="00777508">
        <w:t xml:space="preserve"> licensed massage therapist, if the massage therapy services are provided in an area of the residence that is not used for sleeping purposes, and that provides for the privacy of the client.</w:t>
      </w:r>
      <w:r>
        <w:t xml:space="preserve"> </w:t>
      </w:r>
      <w:r>
        <w:rPr>
          <w:u w:val="single"/>
        </w:rPr>
        <w:t>The licensed practice space within a residence is subject to inspection by the department and must comply with all establishment regulations in Regulation 77</w:t>
      </w:r>
      <w:r>
        <w:rPr>
          <w:u w:val="single"/>
        </w:rPr>
        <w:noBreakHyphen/>
        <w:t>141.</w:t>
      </w:r>
    </w:p>
    <w:p w14:paraId="77CD656B" w14:textId="77777777" w:rsidR="00884328" w:rsidRDefault="00884328" w:rsidP="00413C50">
      <w:pPr>
        <w:tabs>
          <w:tab w:val="left" w:pos="475"/>
          <w:tab w:val="left" w:pos="2304"/>
          <w:tab w:val="center" w:pos="6494"/>
          <w:tab w:val="left" w:pos="7373"/>
          <w:tab w:val="left" w:pos="8554"/>
        </w:tabs>
      </w:pPr>
    </w:p>
    <w:p w14:paraId="1DB8A792" w14:textId="77777777" w:rsidR="00884328" w:rsidRPr="003973EA" w:rsidRDefault="00884328" w:rsidP="00B761D2">
      <w:pPr>
        <w:rPr>
          <w:b/>
        </w:rPr>
      </w:pPr>
      <w:r w:rsidRPr="003973EA">
        <w:rPr>
          <w:b/>
        </w:rPr>
        <w:t>Fiscal Impact Statement:</w:t>
      </w:r>
    </w:p>
    <w:p w14:paraId="50013C84" w14:textId="77777777" w:rsidR="00884328" w:rsidRPr="003973EA" w:rsidRDefault="00884328" w:rsidP="00B761D2">
      <w:pPr>
        <w:rPr>
          <w:b/>
        </w:rPr>
      </w:pPr>
    </w:p>
    <w:p w14:paraId="5A7B81CC" w14:textId="77777777" w:rsidR="00884328" w:rsidRDefault="00884328" w:rsidP="00B761D2">
      <w:r>
        <w:tab/>
        <w:t>There will be no cost incurred by the State or any of its political subdivisions for these regulations.</w:t>
      </w:r>
    </w:p>
    <w:p w14:paraId="4F2F53E3" w14:textId="77777777" w:rsidR="00884328" w:rsidRDefault="00884328" w:rsidP="00B761D2"/>
    <w:p w14:paraId="65B21111" w14:textId="77777777" w:rsidR="00884328" w:rsidRPr="00044CFD" w:rsidRDefault="00884328" w:rsidP="00B761D2">
      <w:pPr>
        <w:rPr>
          <w:b/>
        </w:rPr>
      </w:pPr>
      <w:r w:rsidRPr="00044CFD">
        <w:rPr>
          <w:b/>
        </w:rPr>
        <w:t>Statement of Rationale:</w:t>
      </w:r>
    </w:p>
    <w:p w14:paraId="7B459EB3" w14:textId="77777777" w:rsidR="00884328" w:rsidRDefault="00884328" w:rsidP="00B761D2"/>
    <w:p w14:paraId="38E63DF3" w14:textId="77777777" w:rsidR="00884328" w:rsidRDefault="00884328" w:rsidP="00B761D2">
      <w:r>
        <w:rPr>
          <w:bCs/>
        </w:rPr>
        <w:lastRenderedPageBreak/>
        <w:tab/>
        <w:t>The updated regulations simplify e</w:t>
      </w:r>
      <w:r>
        <w:t>ndorsement licensure requirements, adding that an endorsement license applicant</w:t>
      </w:r>
      <w:r w:rsidRPr="008515C9">
        <w:rPr>
          <w:rFonts w:cs="Times New Roman"/>
        </w:rPr>
        <w:t>’</w:t>
      </w:r>
      <w:r>
        <w:t xml:space="preserve">s state of licensure must have had substantially equivalent license requirements at the time of </w:t>
      </w:r>
      <w:proofErr w:type="gramStart"/>
      <w:r>
        <w:t>application</w:t>
      </w:r>
      <w:proofErr w:type="gramEnd"/>
      <w:r>
        <w:t xml:space="preserve"> but that substantially equivalent education may be shown by proof of passage of a national or state exam as approved by the Board. The regulations further add that an endorsement licensure applicant licensed in another state or territory prior to July 1, </w:t>
      </w:r>
      <w:proofErr w:type="gramStart"/>
      <w:r>
        <w:t>2007</w:t>
      </w:r>
      <w:proofErr w:type="gramEnd"/>
      <w:r>
        <w:t xml:space="preserve"> will be deemed to have met education and examination equivalency licensing standards and must only </w:t>
      </w:r>
      <w:proofErr w:type="gramStart"/>
      <w:r>
        <w:t>meeting</w:t>
      </w:r>
      <w:proofErr w:type="gramEnd"/>
      <w:r>
        <w:t xml:space="preserve"> (1)(b) and (c) and show proof of a current, active and unrestricted license in another state or territory to be licensed in this state. The regulations further add renewal requirements for clarity, adding that CE must be board</w:t>
      </w:r>
      <w:r>
        <w:noBreakHyphen/>
        <w:t xml:space="preserve">approved, must be obtained during the licensure period and must reflect biennial renewal hours, doubling the hours from six to twelve. The regulations add sanitation guidance, as a public health and safety measure, requiring that linens must be laundered </w:t>
      </w:r>
      <w:proofErr w:type="gramStart"/>
      <w:r>
        <w:t>before re</w:t>
      </w:r>
      <w:r>
        <w:noBreakHyphen/>
        <w:t>use</w:t>
      </w:r>
      <w:proofErr w:type="gramEnd"/>
      <w:r>
        <w:t xml:space="preserve"> and clean linens must be stored separately from used or dirty linens. The regulations add fleece to list of materials that must be changed after each client and add that they must be laundered </w:t>
      </w:r>
      <w:proofErr w:type="gramStart"/>
      <w:r>
        <w:t>before re</w:t>
      </w:r>
      <w:r>
        <w:noBreakHyphen/>
        <w:t>use</w:t>
      </w:r>
      <w:proofErr w:type="gramEnd"/>
      <w:r>
        <w:t>. The regulations further add instructions for cleaning table coverings that are non</w:t>
      </w:r>
      <w:r>
        <w:noBreakHyphen/>
        <w:t xml:space="preserve">removable or cannot be laundered or </w:t>
      </w:r>
      <w:proofErr w:type="gramStart"/>
      <w:r>
        <w:t>disinfected, and</w:t>
      </w:r>
      <w:proofErr w:type="gramEnd"/>
      <w:r>
        <w:t xml:space="preserve"> also require that all tools and implements used by the therapist be cleaned and/or disinfected after each use. Finally, the regulations are necessary to address questions raised following the recent regulation of establishments. They clarify that beds are prohibited in establishments and no portion of establishments may be used as living or sleeping quarters except as prescribed in Regulation 77</w:t>
      </w:r>
      <w:r>
        <w:noBreakHyphen/>
        <w:t xml:space="preserve">151. They clarify that a sole practitioner establishment must be controlled by a licensed massage therapist who is not an employee or contractor of the sole practitioner </w:t>
      </w:r>
      <w:proofErr w:type="gramStart"/>
      <w:r>
        <w:t>establishment, and</w:t>
      </w:r>
      <w:proofErr w:type="gramEnd"/>
      <w:r>
        <w:t xml:space="preserve"> clarify that the massage therapist controlling a sole practitioner establishment cannot contract with or employ another license massage therapist to work in the sole practitioner establishment. Finally, as to Residential Licensed Establishments, they clarify that the section refers to licensed sole practitioner establishments and add that the license practice space within a residence is subject to inspection by the Department and must comply with all establishment regulations in Regulation 77</w:t>
      </w:r>
      <w:r>
        <w:noBreakHyphen/>
        <w:t>141.</w:t>
      </w:r>
    </w:p>
    <w:p w14:paraId="58C2B7FD" w14:textId="73E3761B" w:rsidR="00413C50" w:rsidRDefault="00413C50" w:rsidP="00413C50"/>
    <w:sectPr w:rsidR="00413C50" w:rsidSect="00B7022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7116" w14:textId="77777777" w:rsidR="00B70229" w:rsidRDefault="00B70229" w:rsidP="00B70229">
      <w:r>
        <w:separator/>
      </w:r>
    </w:p>
  </w:endnote>
  <w:endnote w:type="continuationSeparator" w:id="0">
    <w:p w14:paraId="0DFF7E4C" w14:textId="77777777" w:rsidR="00B70229" w:rsidRDefault="00B70229" w:rsidP="00B7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36926"/>
      <w:docPartObj>
        <w:docPartGallery w:val="Page Numbers (Bottom of Page)"/>
        <w:docPartUnique/>
      </w:docPartObj>
    </w:sdtPr>
    <w:sdtEndPr>
      <w:rPr>
        <w:noProof/>
      </w:rPr>
    </w:sdtEndPr>
    <w:sdtContent>
      <w:p w14:paraId="3DCE5525" w14:textId="6EFC9290" w:rsidR="00B70229" w:rsidRDefault="00B70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618FD" w14:textId="77777777" w:rsidR="00B70229" w:rsidRDefault="00B70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5534" w14:textId="77777777" w:rsidR="00B70229" w:rsidRDefault="00B70229" w:rsidP="00B70229">
      <w:r>
        <w:separator/>
      </w:r>
    </w:p>
  </w:footnote>
  <w:footnote w:type="continuationSeparator" w:id="0">
    <w:p w14:paraId="2F0813F1" w14:textId="77777777" w:rsidR="00B70229" w:rsidRDefault="00B70229" w:rsidP="00B70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3C50"/>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2634C"/>
    <w:rsid w:val="00140AB2"/>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3C50"/>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860B9"/>
    <w:rsid w:val="005A3311"/>
    <w:rsid w:val="0060475B"/>
    <w:rsid w:val="006102CA"/>
    <w:rsid w:val="0063340E"/>
    <w:rsid w:val="00636177"/>
    <w:rsid w:val="006459F3"/>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7074"/>
    <w:rsid w:val="007F5C57"/>
    <w:rsid w:val="007F628F"/>
    <w:rsid w:val="0080148C"/>
    <w:rsid w:val="00850B43"/>
    <w:rsid w:val="00855C88"/>
    <w:rsid w:val="00857E99"/>
    <w:rsid w:val="00865A54"/>
    <w:rsid w:val="00884328"/>
    <w:rsid w:val="00890A7C"/>
    <w:rsid w:val="008A3011"/>
    <w:rsid w:val="008C2B95"/>
    <w:rsid w:val="008C5C77"/>
    <w:rsid w:val="008D3B59"/>
    <w:rsid w:val="008E70F5"/>
    <w:rsid w:val="008E7348"/>
    <w:rsid w:val="00914D2D"/>
    <w:rsid w:val="00930AFD"/>
    <w:rsid w:val="0093751D"/>
    <w:rsid w:val="009430F7"/>
    <w:rsid w:val="0097578F"/>
    <w:rsid w:val="009809DB"/>
    <w:rsid w:val="00986ABC"/>
    <w:rsid w:val="009949CB"/>
    <w:rsid w:val="0099640B"/>
    <w:rsid w:val="009B102A"/>
    <w:rsid w:val="009B38A5"/>
    <w:rsid w:val="009F6624"/>
    <w:rsid w:val="00A01678"/>
    <w:rsid w:val="00A0689B"/>
    <w:rsid w:val="00A13882"/>
    <w:rsid w:val="00A220E4"/>
    <w:rsid w:val="00A52663"/>
    <w:rsid w:val="00A72222"/>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70229"/>
    <w:rsid w:val="00BA39BF"/>
    <w:rsid w:val="00BC4A51"/>
    <w:rsid w:val="00BC7097"/>
    <w:rsid w:val="00BF290F"/>
    <w:rsid w:val="00C212ED"/>
    <w:rsid w:val="00C354CC"/>
    <w:rsid w:val="00C3759B"/>
    <w:rsid w:val="00C70F4C"/>
    <w:rsid w:val="00C74882"/>
    <w:rsid w:val="00C941AA"/>
    <w:rsid w:val="00CA12A5"/>
    <w:rsid w:val="00CB144C"/>
    <w:rsid w:val="00D14A74"/>
    <w:rsid w:val="00D2031F"/>
    <w:rsid w:val="00D222A4"/>
    <w:rsid w:val="00D36BBE"/>
    <w:rsid w:val="00D45FEA"/>
    <w:rsid w:val="00D609E6"/>
    <w:rsid w:val="00D7239B"/>
    <w:rsid w:val="00D829DA"/>
    <w:rsid w:val="00DB51DF"/>
    <w:rsid w:val="00DC0E9F"/>
    <w:rsid w:val="00DC18B5"/>
    <w:rsid w:val="00E115AD"/>
    <w:rsid w:val="00E560B4"/>
    <w:rsid w:val="00E94F47"/>
    <w:rsid w:val="00EC4AB6"/>
    <w:rsid w:val="00EF674A"/>
    <w:rsid w:val="00F03401"/>
    <w:rsid w:val="00F45484"/>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DAD5"/>
  <w15:chartTrackingRefBased/>
  <w15:docId w15:val="{17CBDB1D-DC79-431B-A4AF-A9ACBADE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BC"/>
    <w:pPr>
      <w:jc w:val="both"/>
    </w:pPr>
  </w:style>
  <w:style w:type="paragraph" w:styleId="Heading1">
    <w:name w:val="heading 1"/>
    <w:basedOn w:val="Normal"/>
    <w:next w:val="Normal"/>
    <w:link w:val="Heading1Char"/>
    <w:uiPriority w:val="9"/>
    <w:qFormat/>
    <w:rsid w:val="00413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C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C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3C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3C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3C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3C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3C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C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C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3C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3C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3C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3C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3C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3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C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C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3C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C50"/>
    <w:rPr>
      <w:i/>
      <w:iCs/>
      <w:color w:val="404040" w:themeColor="text1" w:themeTint="BF"/>
    </w:rPr>
  </w:style>
  <w:style w:type="paragraph" w:styleId="ListParagraph">
    <w:name w:val="List Paragraph"/>
    <w:basedOn w:val="Normal"/>
    <w:uiPriority w:val="34"/>
    <w:qFormat/>
    <w:rsid w:val="00413C50"/>
    <w:pPr>
      <w:ind w:left="720"/>
      <w:contextualSpacing/>
    </w:pPr>
  </w:style>
  <w:style w:type="character" w:styleId="IntenseEmphasis">
    <w:name w:val="Intense Emphasis"/>
    <w:basedOn w:val="DefaultParagraphFont"/>
    <w:uiPriority w:val="21"/>
    <w:qFormat/>
    <w:rsid w:val="00413C50"/>
    <w:rPr>
      <w:i/>
      <w:iCs/>
      <w:color w:val="0F4761" w:themeColor="accent1" w:themeShade="BF"/>
    </w:rPr>
  </w:style>
  <w:style w:type="paragraph" w:styleId="IntenseQuote">
    <w:name w:val="Intense Quote"/>
    <w:basedOn w:val="Normal"/>
    <w:next w:val="Normal"/>
    <w:link w:val="IntenseQuoteChar"/>
    <w:uiPriority w:val="30"/>
    <w:qFormat/>
    <w:rsid w:val="00413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C50"/>
    <w:rPr>
      <w:i/>
      <w:iCs/>
      <w:color w:val="0F4761" w:themeColor="accent1" w:themeShade="BF"/>
    </w:rPr>
  </w:style>
  <w:style w:type="character" w:styleId="IntenseReference">
    <w:name w:val="Intense Reference"/>
    <w:basedOn w:val="DefaultParagraphFont"/>
    <w:uiPriority w:val="32"/>
    <w:qFormat/>
    <w:rsid w:val="00413C50"/>
    <w:rPr>
      <w:b/>
      <w:bCs/>
      <w:smallCaps/>
      <w:color w:val="0F4761" w:themeColor="accent1" w:themeShade="BF"/>
      <w:spacing w:val="5"/>
    </w:rPr>
  </w:style>
  <w:style w:type="paragraph" w:styleId="Header">
    <w:name w:val="header"/>
    <w:basedOn w:val="Normal"/>
    <w:link w:val="HeaderChar"/>
    <w:uiPriority w:val="99"/>
    <w:unhideWhenUsed/>
    <w:rsid w:val="00B70229"/>
    <w:pPr>
      <w:tabs>
        <w:tab w:val="center" w:pos="4680"/>
        <w:tab w:val="right" w:pos="9360"/>
      </w:tabs>
    </w:pPr>
  </w:style>
  <w:style w:type="character" w:customStyle="1" w:styleId="HeaderChar">
    <w:name w:val="Header Char"/>
    <w:basedOn w:val="DefaultParagraphFont"/>
    <w:link w:val="Header"/>
    <w:uiPriority w:val="99"/>
    <w:rsid w:val="00B70229"/>
  </w:style>
  <w:style w:type="paragraph" w:styleId="Footer">
    <w:name w:val="footer"/>
    <w:basedOn w:val="Normal"/>
    <w:link w:val="FooterChar"/>
    <w:uiPriority w:val="99"/>
    <w:unhideWhenUsed/>
    <w:rsid w:val="00B70229"/>
    <w:pPr>
      <w:tabs>
        <w:tab w:val="center" w:pos="4680"/>
        <w:tab w:val="right" w:pos="9360"/>
      </w:tabs>
    </w:pPr>
  </w:style>
  <w:style w:type="character" w:customStyle="1" w:styleId="FooterChar">
    <w:name w:val="Footer Char"/>
    <w:basedOn w:val="DefaultParagraphFont"/>
    <w:link w:val="Footer"/>
    <w:uiPriority w:val="99"/>
    <w:rsid w:val="00B7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9765</Characters>
  <Application>Microsoft Office Word</Application>
  <DocSecurity>0</DocSecurity>
  <Lines>198</Lines>
  <Paragraphs>71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2026-01-05T16:24:00Z</cp:lastPrinted>
  <dcterms:created xsi:type="dcterms:W3CDTF">2026-04-01T14:35:00Z</dcterms:created>
  <dcterms:modified xsi:type="dcterms:W3CDTF">2026-04-01T14:35:00Z</dcterms:modified>
</cp:coreProperties>
</file>