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0F89C" w14:textId="77777777" w:rsidR="00112A38" w:rsidRDefault="00112A38" w:rsidP="00B1149A">
      <w:r>
        <w:t>Agency Name: Building Codes Council - Labor, Licensing and Regulation</w:t>
      </w:r>
    </w:p>
    <w:p w14:paraId="7365963D" w14:textId="77777777" w:rsidR="00112A38" w:rsidRDefault="00112A38" w:rsidP="00B1149A">
      <w:r>
        <w:t>Statutory Authority: 6-9-40, 6-9-50, and 6-9-55</w:t>
      </w:r>
    </w:p>
    <w:p w14:paraId="310346DE" w14:textId="17CB7574" w:rsidR="00C84FD3" w:rsidRDefault="00B1149A" w:rsidP="00B1149A">
      <w:r>
        <w:t>Document Number: 5416</w:t>
      </w:r>
    </w:p>
    <w:p w14:paraId="3619C80E" w14:textId="75C00CBC" w:rsidR="00B1149A" w:rsidRDefault="00112A38" w:rsidP="00B1149A">
      <w:r>
        <w:t>Proposed in State Register Volume and Issue: 49/10</w:t>
      </w:r>
    </w:p>
    <w:p w14:paraId="4FFA3BC1" w14:textId="77777777" w:rsidR="00311302" w:rsidRDefault="00311302" w:rsidP="00B1149A">
      <w:r>
        <w:t>House Committee: Reg., Admin. Procedures, AI and Cybersecurity</w:t>
      </w:r>
    </w:p>
    <w:p w14:paraId="2A4D406E" w14:textId="0119A5CC" w:rsidR="00093591" w:rsidRDefault="00093591" w:rsidP="00B1149A">
      <w:r>
        <w:t>Senate Committee: Labor, Commerce and Industry Committee</w:t>
      </w:r>
    </w:p>
    <w:p w14:paraId="499AE6D6" w14:textId="42F3A4D9" w:rsidR="00144F98" w:rsidRDefault="00144F98" w:rsidP="00B1149A">
      <w:r>
        <w:t>110 Day Review Expiration Date for Automatic Approval</w:t>
      </w:r>
      <w:r w:rsidR="00D80988">
        <w:t>:</w:t>
      </w:r>
      <w:r>
        <w:t xml:space="preserve"> 05/03/2026</w:t>
      </w:r>
    </w:p>
    <w:p w14:paraId="4F3E222E" w14:textId="77777777" w:rsidR="00D80988" w:rsidRDefault="00D80988" w:rsidP="00B1149A">
      <w:r>
        <w:t>Final in State Register Volume and Issue: 50/5</w:t>
      </w:r>
    </w:p>
    <w:p w14:paraId="14655DC5" w14:textId="3CB03716" w:rsidR="00D80988" w:rsidRDefault="00112A38" w:rsidP="00B1149A">
      <w:r>
        <w:t xml:space="preserve">Status: </w:t>
      </w:r>
      <w:r w:rsidR="00D80988">
        <w:t>Final</w:t>
      </w:r>
    </w:p>
    <w:p w14:paraId="22794EB0" w14:textId="0DDA8D24" w:rsidR="00112A38" w:rsidRDefault="00112A38" w:rsidP="00B1149A">
      <w:r>
        <w:t>Subject: International Plumbing Code</w:t>
      </w:r>
    </w:p>
    <w:p w14:paraId="5CBF4F55" w14:textId="77777777" w:rsidR="00112A38" w:rsidRDefault="00112A38" w:rsidP="00B1149A"/>
    <w:p w14:paraId="6344FE33" w14:textId="7D85ED00" w:rsidR="00B1149A" w:rsidRDefault="00B1149A" w:rsidP="00B1149A">
      <w:r>
        <w:t>History: 5416</w:t>
      </w:r>
    </w:p>
    <w:p w14:paraId="26A2667E" w14:textId="77777777" w:rsidR="00B1149A" w:rsidRDefault="00B1149A" w:rsidP="00B1149A"/>
    <w:p w14:paraId="7F9F44D1" w14:textId="1C200229" w:rsidR="00B1149A" w:rsidRDefault="00B1149A" w:rsidP="00B1149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72908D51" w14:textId="1282AD3A" w:rsidR="00B1149A" w:rsidRDefault="00112A38" w:rsidP="00B1149A">
      <w:pPr>
        <w:tabs>
          <w:tab w:val="left" w:pos="475"/>
          <w:tab w:val="left" w:pos="2304"/>
          <w:tab w:val="center" w:pos="6494"/>
          <w:tab w:val="left" w:pos="7373"/>
          <w:tab w:val="left" w:pos="8554"/>
        </w:tabs>
      </w:pPr>
      <w:r>
        <w:t>-</w:t>
      </w:r>
      <w:r>
        <w:tab/>
        <w:t>10/24/2025</w:t>
      </w:r>
      <w:r>
        <w:tab/>
        <w:t>Proposed Reg Published in SR</w:t>
      </w:r>
      <w:r>
        <w:tab/>
      </w:r>
    </w:p>
    <w:p w14:paraId="38000845" w14:textId="77A013F4" w:rsidR="00112A38" w:rsidRDefault="00D87D10" w:rsidP="00B1149A">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201EE164" w14:textId="56E1FE86" w:rsidR="00D87D10" w:rsidRDefault="00093591" w:rsidP="00B1149A">
      <w:pPr>
        <w:tabs>
          <w:tab w:val="left" w:pos="475"/>
          <w:tab w:val="left" w:pos="2304"/>
          <w:tab w:val="center" w:pos="6494"/>
          <w:tab w:val="left" w:pos="7373"/>
          <w:tab w:val="left" w:pos="8554"/>
        </w:tabs>
      </w:pPr>
      <w:r>
        <w:t>S</w:t>
      </w:r>
      <w:r>
        <w:tab/>
        <w:t>01/13/2026</w:t>
      </w:r>
      <w:r>
        <w:tab/>
        <w:t>Referred to Committee</w:t>
      </w:r>
      <w:r>
        <w:tab/>
      </w:r>
    </w:p>
    <w:p w14:paraId="6C19B2B6" w14:textId="0E42FE27" w:rsidR="00093591" w:rsidRDefault="00311302" w:rsidP="00B1149A">
      <w:pPr>
        <w:tabs>
          <w:tab w:val="left" w:pos="475"/>
          <w:tab w:val="left" w:pos="2304"/>
          <w:tab w:val="center" w:pos="6494"/>
          <w:tab w:val="left" w:pos="7373"/>
          <w:tab w:val="left" w:pos="8554"/>
        </w:tabs>
      </w:pPr>
      <w:r>
        <w:t>H</w:t>
      </w:r>
      <w:r>
        <w:tab/>
        <w:t>01/14/2026</w:t>
      </w:r>
      <w:r>
        <w:tab/>
        <w:t>Referred to Committee</w:t>
      </w:r>
      <w:r>
        <w:tab/>
      </w:r>
    </w:p>
    <w:p w14:paraId="5F1E9085" w14:textId="13F4CF6E" w:rsidR="00311302" w:rsidRDefault="00F56041" w:rsidP="00B1149A">
      <w:pPr>
        <w:tabs>
          <w:tab w:val="left" w:pos="475"/>
          <w:tab w:val="left" w:pos="2304"/>
          <w:tab w:val="center" w:pos="6494"/>
          <w:tab w:val="left" w:pos="7373"/>
          <w:tab w:val="left" w:pos="8554"/>
        </w:tabs>
      </w:pPr>
      <w:r>
        <w:t>H</w:t>
      </w:r>
      <w:r>
        <w:tab/>
        <w:t>04/02/2026</w:t>
      </w:r>
      <w:r>
        <w:tab/>
        <w:t>Committee Requested Withdrawal</w:t>
      </w:r>
    </w:p>
    <w:p w14:paraId="25FCCEDB" w14:textId="6E987B1A" w:rsidR="00F56041" w:rsidRDefault="00F56041" w:rsidP="00B1149A">
      <w:pPr>
        <w:tabs>
          <w:tab w:val="left" w:pos="475"/>
          <w:tab w:val="left" w:pos="2304"/>
          <w:tab w:val="center" w:pos="6494"/>
          <w:tab w:val="left" w:pos="7373"/>
          <w:tab w:val="left" w:pos="8554"/>
        </w:tabs>
      </w:pPr>
      <w:r>
        <w:tab/>
      </w:r>
      <w:r>
        <w:tab/>
        <w:t>110 Day Period Tolled</w:t>
      </w:r>
    </w:p>
    <w:p w14:paraId="1D19B54C" w14:textId="5A8BC6BC" w:rsidR="00F56041" w:rsidRDefault="00144F98" w:rsidP="00B1149A">
      <w:pPr>
        <w:tabs>
          <w:tab w:val="left" w:pos="475"/>
          <w:tab w:val="left" w:pos="2304"/>
          <w:tab w:val="center" w:pos="6494"/>
          <w:tab w:val="left" w:pos="7373"/>
          <w:tab w:val="left" w:pos="8554"/>
        </w:tabs>
      </w:pPr>
      <w:r>
        <w:t>-</w:t>
      </w:r>
      <w:r>
        <w:tab/>
        <w:t>04/02/2026</w:t>
      </w:r>
      <w:r>
        <w:tab/>
        <w:t>Withdrawn and Resubmitted</w:t>
      </w:r>
      <w:r>
        <w:tab/>
      </w:r>
      <w:r>
        <w:tab/>
        <w:t>05/03/2026</w:t>
      </w:r>
    </w:p>
    <w:p w14:paraId="15FA0FA9" w14:textId="66BB1A38" w:rsidR="00144F98" w:rsidRDefault="0005274A" w:rsidP="00B1149A">
      <w:pPr>
        <w:tabs>
          <w:tab w:val="left" w:pos="475"/>
          <w:tab w:val="left" w:pos="2304"/>
          <w:tab w:val="center" w:pos="6494"/>
          <w:tab w:val="left" w:pos="7373"/>
          <w:tab w:val="left" w:pos="8554"/>
        </w:tabs>
      </w:pPr>
      <w:r>
        <w:t>S</w:t>
      </w:r>
      <w:r>
        <w:tab/>
        <w:t>04/30/2026</w:t>
      </w:r>
      <w:r>
        <w:tab/>
        <w:t>Resolution Introduced to Approve</w:t>
      </w:r>
      <w:r>
        <w:tab/>
        <w:t>1168</w:t>
      </w:r>
    </w:p>
    <w:p w14:paraId="4F76CEED" w14:textId="0A973785" w:rsidR="0005274A" w:rsidRDefault="00D80988" w:rsidP="00B1149A">
      <w:pPr>
        <w:tabs>
          <w:tab w:val="left" w:pos="475"/>
          <w:tab w:val="left" w:pos="2304"/>
          <w:tab w:val="center" w:pos="6494"/>
          <w:tab w:val="left" w:pos="7373"/>
          <w:tab w:val="left" w:pos="8554"/>
        </w:tabs>
      </w:pPr>
      <w:r>
        <w:t>-</w:t>
      </w:r>
      <w:r>
        <w:tab/>
        <w:t>05/03/2026</w:t>
      </w:r>
      <w:r>
        <w:tab/>
        <w:t>Approved by: Expiration Date</w:t>
      </w:r>
    </w:p>
    <w:p w14:paraId="0739B7AE" w14:textId="4C484AC1" w:rsidR="00D80988" w:rsidRDefault="00D80988" w:rsidP="00B1149A">
      <w:pPr>
        <w:tabs>
          <w:tab w:val="left" w:pos="475"/>
          <w:tab w:val="left" w:pos="2304"/>
          <w:tab w:val="center" w:pos="6494"/>
          <w:tab w:val="left" w:pos="7373"/>
          <w:tab w:val="left" w:pos="8554"/>
        </w:tabs>
      </w:pPr>
      <w:r>
        <w:t>-</w:t>
      </w:r>
      <w:r>
        <w:tab/>
        <w:t>05/22/2026</w:t>
      </w:r>
      <w:r>
        <w:tab/>
        <w:t>Effective Date unless otherwise</w:t>
      </w:r>
    </w:p>
    <w:p w14:paraId="24A71CD5" w14:textId="29C58B09" w:rsidR="00D80988" w:rsidRDefault="00D80988" w:rsidP="00B1149A">
      <w:pPr>
        <w:tabs>
          <w:tab w:val="left" w:pos="475"/>
          <w:tab w:val="left" w:pos="2304"/>
          <w:tab w:val="center" w:pos="6494"/>
          <w:tab w:val="left" w:pos="7373"/>
          <w:tab w:val="left" w:pos="8554"/>
        </w:tabs>
      </w:pPr>
      <w:r>
        <w:tab/>
      </w:r>
      <w:r>
        <w:tab/>
        <w:t>provided for in the Regulation</w:t>
      </w:r>
    </w:p>
    <w:p w14:paraId="617F451F" w14:textId="77777777" w:rsidR="00D80988" w:rsidRPr="00D80988" w:rsidRDefault="00D80988" w:rsidP="00B1149A">
      <w:pPr>
        <w:tabs>
          <w:tab w:val="left" w:pos="475"/>
          <w:tab w:val="left" w:pos="2304"/>
          <w:tab w:val="center" w:pos="6494"/>
          <w:tab w:val="left" w:pos="7373"/>
          <w:tab w:val="left" w:pos="8554"/>
        </w:tabs>
      </w:pPr>
    </w:p>
    <w:p w14:paraId="22382E4F" w14:textId="60DD5072" w:rsidR="00CD7374" w:rsidRDefault="00B1149A" w:rsidP="00D80988">
      <w:pPr>
        <w:jc w:val="center"/>
      </w:pPr>
      <w:r>
        <w:br w:type="page"/>
      </w:r>
      <w:r w:rsidR="00CD7374">
        <w:lastRenderedPageBreak/>
        <w:t>Document No. 5416</w:t>
      </w:r>
    </w:p>
    <w:p w14:paraId="605556A7" w14:textId="77777777" w:rsidR="00CD7374" w:rsidRPr="002C3852" w:rsidRDefault="00CD7374" w:rsidP="00A23137">
      <w:pPr>
        <w:jc w:val="center"/>
        <w:rPr>
          <w:rFonts w:cs="Times New Roman"/>
          <w:b/>
        </w:rPr>
      </w:pPr>
      <w:r w:rsidRPr="002C3852">
        <w:rPr>
          <w:rFonts w:cs="Times New Roman"/>
          <w:b/>
        </w:rPr>
        <w:t>DEPARTMENT OF LABOR, LICENSING AND REGULATION</w:t>
      </w:r>
    </w:p>
    <w:p w14:paraId="44EA2939" w14:textId="77777777" w:rsidR="00CD7374" w:rsidRPr="002C3852" w:rsidRDefault="00CD7374" w:rsidP="00A23137">
      <w:pPr>
        <w:jc w:val="center"/>
        <w:rPr>
          <w:rFonts w:cs="Times New Roman"/>
          <w:b/>
        </w:rPr>
      </w:pPr>
      <w:r>
        <w:rPr>
          <w:rFonts w:cs="Times New Roman"/>
          <w:b/>
        </w:rPr>
        <w:t>BUILDING CODES COUNCIL</w:t>
      </w:r>
    </w:p>
    <w:p w14:paraId="663C4067" w14:textId="77777777" w:rsidR="00CD7374" w:rsidRPr="00012787" w:rsidRDefault="00CD7374" w:rsidP="00A23137">
      <w:pPr>
        <w:jc w:val="center"/>
        <w:rPr>
          <w:rFonts w:cs="Times New Roman"/>
        </w:rPr>
      </w:pPr>
      <w:r>
        <w:rPr>
          <w:rFonts w:cs="Times New Roman"/>
        </w:rPr>
        <w:t>CHAPTER</w:t>
      </w:r>
      <w:r>
        <w:rPr>
          <w:rFonts w:cs="Times New Roman"/>
          <w:b/>
        </w:rPr>
        <w:t xml:space="preserve"> </w:t>
      </w:r>
      <w:r>
        <w:rPr>
          <w:rFonts w:cs="Times New Roman"/>
        </w:rPr>
        <w:t>8</w:t>
      </w:r>
    </w:p>
    <w:p w14:paraId="307FA14F" w14:textId="77777777" w:rsidR="00CD7374" w:rsidRPr="002C3852" w:rsidRDefault="00CD7374" w:rsidP="00A23137">
      <w:pPr>
        <w:jc w:val="center"/>
        <w:rPr>
          <w:rFonts w:cs="Times New Roman"/>
        </w:rPr>
      </w:pPr>
      <w:r w:rsidRPr="002C3852">
        <w:rPr>
          <w:rFonts w:cs="Times New Roman"/>
        </w:rPr>
        <w:t>Statutory Authority:</w:t>
      </w:r>
      <w:r>
        <w:rPr>
          <w:rFonts w:cs="Times New Roman"/>
        </w:rPr>
        <w:t xml:space="preserve"> 1976 Code Sections 6</w:t>
      </w:r>
      <w:r>
        <w:rPr>
          <w:rFonts w:cs="Times New Roman"/>
        </w:rPr>
        <w:noBreakHyphen/>
        <w:t>9</w:t>
      </w:r>
      <w:r>
        <w:rPr>
          <w:rFonts w:cs="Times New Roman"/>
        </w:rPr>
        <w:noBreakHyphen/>
        <w:t>40, 6</w:t>
      </w:r>
      <w:r>
        <w:rPr>
          <w:rFonts w:cs="Times New Roman"/>
        </w:rPr>
        <w:noBreakHyphen/>
        <w:t>9</w:t>
      </w:r>
      <w:r>
        <w:rPr>
          <w:rFonts w:cs="Times New Roman"/>
        </w:rPr>
        <w:noBreakHyphen/>
        <w:t>50, and 6</w:t>
      </w:r>
      <w:r>
        <w:rPr>
          <w:rFonts w:cs="Times New Roman"/>
        </w:rPr>
        <w:noBreakHyphen/>
        <w:t>9</w:t>
      </w:r>
      <w:r>
        <w:rPr>
          <w:rFonts w:cs="Times New Roman"/>
        </w:rPr>
        <w:noBreakHyphen/>
        <w:t>55</w:t>
      </w:r>
    </w:p>
    <w:p w14:paraId="2B5C3123" w14:textId="77777777" w:rsidR="00CD7374" w:rsidRDefault="00CD7374" w:rsidP="00A23137">
      <w:pPr>
        <w:jc w:val="center"/>
      </w:pPr>
    </w:p>
    <w:p w14:paraId="0AD5D29A" w14:textId="77777777" w:rsidR="00CD7374" w:rsidRDefault="00CD7374" w:rsidP="00A23137">
      <w:r>
        <w:t>8</w:t>
      </w:r>
      <w:r>
        <w:noBreakHyphen/>
        <w:t>1400. International Plumbing Code.</w:t>
      </w:r>
    </w:p>
    <w:p w14:paraId="47FD0AFA" w14:textId="77777777" w:rsidR="00CD7374" w:rsidRDefault="00CD7374" w:rsidP="00A23137"/>
    <w:p w14:paraId="519AF907" w14:textId="77777777" w:rsidR="00CD7374" w:rsidRDefault="00CD7374" w:rsidP="0073566C">
      <w:pPr>
        <w:rPr>
          <w:b/>
        </w:rPr>
      </w:pPr>
      <w:r>
        <w:rPr>
          <w:b/>
        </w:rPr>
        <w:t>Synopsis</w:t>
      </w:r>
      <w:r w:rsidRPr="00401C51">
        <w:rPr>
          <w:b/>
        </w:rPr>
        <w:t>:</w:t>
      </w:r>
    </w:p>
    <w:p w14:paraId="41506413" w14:textId="77777777" w:rsidR="00CD7374" w:rsidRDefault="00CD7374" w:rsidP="0073566C">
      <w:pPr>
        <w:rPr>
          <w:b/>
        </w:rPr>
      </w:pPr>
    </w:p>
    <w:p w14:paraId="441C0146" w14:textId="77777777" w:rsidR="00CD7374" w:rsidRDefault="00CD7374" w:rsidP="0073566C">
      <w:pPr>
        <w:rPr>
          <w:b/>
        </w:rPr>
      </w:pPr>
      <w:r>
        <w:rPr>
          <w:b/>
        </w:rPr>
        <w:tab/>
      </w:r>
      <w:r w:rsidRPr="00F71CB1">
        <w:rPr>
          <w:rFonts w:eastAsia="Calibri"/>
        </w:rPr>
        <w:t xml:space="preserve">The South Carolina Building Codes Council </w:t>
      </w:r>
      <w:r w:rsidRPr="00F71CB1">
        <w:t xml:space="preserve">proposes to </w:t>
      </w:r>
      <w:r>
        <w:t xml:space="preserve">amend Chapter 8, Article 14, to reflect modifications to the 2024 South Carolina Building Codes, the International Plumbing Code. </w:t>
      </w:r>
    </w:p>
    <w:p w14:paraId="0169A224" w14:textId="77777777" w:rsidR="00CD7374" w:rsidRDefault="00CD7374" w:rsidP="0073566C">
      <w:pPr>
        <w:rPr>
          <w:b/>
        </w:rPr>
      </w:pPr>
    </w:p>
    <w:p w14:paraId="4C7DEC09" w14:textId="77777777" w:rsidR="00CD7374" w:rsidRPr="0073566C" w:rsidRDefault="00CD7374" w:rsidP="0073566C">
      <w:pPr>
        <w:rPr>
          <w:b/>
        </w:rPr>
      </w:pPr>
      <w:r>
        <w:rPr>
          <w:b/>
        </w:rPr>
        <w:tab/>
      </w:r>
      <w:r w:rsidRPr="003973EA">
        <w:t xml:space="preserve">A Notice of Drafting was published in the </w:t>
      </w:r>
      <w:r w:rsidRPr="00951461">
        <w:rPr>
          <w:i/>
        </w:rPr>
        <w:t>State Register</w:t>
      </w:r>
      <w:r w:rsidRPr="003973EA">
        <w:t xml:space="preserve"> on </w:t>
      </w:r>
      <w:r>
        <w:t>June 27, 2025.</w:t>
      </w:r>
    </w:p>
    <w:p w14:paraId="15D4EE83" w14:textId="77777777" w:rsidR="00CD7374" w:rsidRDefault="00CD7374" w:rsidP="00A23137"/>
    <w:p w14:paraId="24CEE358" w14:textId="77777777" w:rsidR="00CD7374" w:rsidRDefault="00CD7374" w:rsidP="00A23137">
      <w:r>
        <w:rPr>
          <w:b/>
          <w:bCs/>
        </w:rPr>
        <w:t>Instructions:</w:t>
      </w:r>
    </w:p>
    <w:p w14:paraId="2FF472F3" w14:textId="77777777" w:rsidR="00CD7374" w:rsidRDefault="00CD7374" w:rsidP="00A23137"/>
    <w:p w14:paraId="58B696F8" w14:textId="77777777" w:rsidR="00D80988" w:rsidRDefault="00CD7374" w:rsidP="00A23137">
      <w:r>
        <w:tab/>
        <w:t>Print the regulation as shown below. All other items remain unchanged.</w:t>
      </w:r>
    </w:p>
    <w:p w14:paraId="470C8222" w14:textId="6FCA8022" w:rsidR="00D80988" w:rsidRDefault="00D80988" w:rsidP="00A23137"/>
    <w:p w14:paraId="470C8222" w14:textId="6FCA8022" w:rsidR="00CD7374" w:rsidRDefault="00CD7374" w:rsidP="00A23137">
      <w:pPr>
        <w:rPr>
          <w:b/>
        </w:rPr>
      </w:pPr>
      <w:r w:rsidRPr="00044CFD">
        <w:rPr>
          <w:b/>
        </w:rPr>
        <w:t>Text:</w:t>
      </w:r>
    </w:p>
    <w:p w14:paraId="45E91D81" w14:textId="77777777" w:rsidR="00CD7374" w:rsidRPr="00D80988" w:rsidRDefault="00CD7374" w:rsidP="00D702D3">
      <w:pPr>
        <w:jc w:val="center"/>
      </w:pPr>
    </w:p>
    <w:p w14:paraId="1B1DBED3" w14:textId="77777777" w:rsidR="00CD7374" w:rsidRPr="00D80988" w:rsidRDefault="00CD7374" w:rsidP="00D702D3">
      <w:pPr>
        <w:jc w:val="center"/>
      </w:pPr>
      <w:r w:rsidRPr="00D80988">
        <w:t>ARTICLE 14</w:t>
      </w:r>
    </w:p>
    <w:p w14:paraId="5F2E59C6" w14:textId="77777777" w:rsidR="00CD7374" w:rsidRPr="00D80988" w:rsidRDefault="00CD7374" w:rsidP="00D702D3">
      <w:pPr>
        <w:jc w:val="center"/>
      </w:pPr>
    </w:p>
    <w:p w14:paraId="1036F8D1" w14:textId="77777777" w:rsidR="00CD7374" w:rsidRPr="00D80988" w:rsidRDefault="00CD7374" w:rsidP="00D702D3">
      <w:pPr>
        <w:jc w:val="center"/>
      </w:pPr>
      <w:r w:rsidRPr="00D80988">
        <w:t>INTERNATIONAL PLUMBING CODE</w:t>
      </w:r>
    </w:p>
    <w:p w14:paraId="27F43561" w14:textId="77777777" w:rsidR="00CD7374" w:rsidRPr="00D80988" w:rsidRDefault="00CD7374" w:rsidP="00D702D3">
      <w:pPr>
        <w:jc w:val="center"/>
      </w:pPr>
    </w:p>
    <w:p w14:paraId="5EB0A0B4" w14:textId="1DB21ABA" w:rsidR="00CD7374" w:rsidRPr="00D80988" w:rsidRDefault="00CD7374" w:rsidP="003C730E">
      <w:pPr>
        <w:jc w:val="center"/>
      </w:pPr>
      <w:r w:rsidRPr="00D80988">
        <w:t>2024 International Plumbing Code Modification Summary</w:t>
      </w:r>
    </w:p>
    <w:p w14:paraId="39120AC2" w14:textId="77777777" w:rsidR="00CD7374" w:rsidRPr="00D80988" w:rsidRDefault="00CD7374" w:rsidP="00D702D3"/>
    <w:p w14:paraId="04338780" w14:textId="77777777" w:rsidR="00CD7374" w:rsidRPr="00D80988" w:rsidRDefault="00CD7374" w:rsidP="003C730E">
      <w:pPr>
        <w:jc w:val="center"/>
      </w:pPr>
      <w:r w:rsidRPr="00D80988">
        <w:t>(Statutory Authority: 1976 Code Sections 6</w:t>
      </w:r>
      <w:r w:rsidRPr="00D80988">
        <w:noBreakHyphen/>
        <w:t>9</w:t>
      </w:r>
      <w:r w:rsidRPr="00D80988">
        <w:noBreakHyphen/>
        <w:t>40)</w:t>
      </w:r>
    </w:p>
    <w:p w14:paraId="47E1F6DE" w14:textId="77777777" w:rsidR="00CD7374" w:rsidRPr="00D80988" w:rsidRDefault="00CD7374" w:rsidP="00D702D3"/>
    <w:p w14:paraId="42C8736C" w14:textId="77777777" w:rsidR="00CD7374" w:rsidRPr="00D80988" w:rsidRDefault="00CD7374" w:rsidP="00D702D3">
      <w:r w:rsidRPr="00D80988">
        <w:t>8</w:t>
      </w:r>
      <w:r w:rsidRPr="00D80988">
        <w:noBreakHyphen/>
        <w:t>1400. International Plumbing Code.</w:t>
      </w:r>
    </w:p>
    <w:p w14:paraId="1F00C8BC" w14:textId="77777777" w:rsidR="00CD7374" w:rsidRPr="00D80988" w:rsidRDefault="00CD7374" w:rsidP="00D702D3"/>
    <w:p w14:paraId="7C21873F" w14:textId="54B80725" w:rsidR="00CD7374" w:rsidRPr="00D80988" w:rsidRDefault="00CD7374" w:rsidP="00D702D3">
      <w:r w:rsidRPr="00D80988">
        <w:t xml:space="preserve">NOTE </w:t>
      </w:r>
      <w:r w:rsidRPr="00D80988">
        <w:noBreakHyphen/>
        <w:t xml:space="preserve"> This article is based upon the International Plumbing Code, 2024 Edition, in accordance with the statutory amendments to acts governing the Building Codes Council, except for the modifications referenced below.</w:t>
      </w:r>
    </w:p>
    <w:p w14:paraId="2D4E6982" w14:textId="77777777" w:rsidR="00CD7374" w:rsidRPr="00D80988" w:rsidRDefault="00CD7374" w:rsidP="00D702D3"/>
    <w:p w14:paraId="3432702D" w14:textId="32F6EB69" w:rsidR="00CD7374" w:rsidRPr="00D80988" w:rsidRDefault="00CD7374" w:rsidP="00D702D3">
      <w:r w:rsidRPr="00D80988">
        <w:t>This code is identical to the 2024 International Plumbing Code, except for the following modifications:</w:t>
      </w:r>
    </w:p>
    <w:p w14:paraId="0E0640EC" w14:textId="77777777" w:rsidR="00CD7374" w:rsidRPr="00D80988" w:rsidRDefault="00CD7374" w:rsidP="00D702D3"/>
    <w:p w14:paraId="20F557A8" w14:textId="77777777" w:rsidR="00CD7374" w:rsidRPr="00D80988" w:rsidRDefault="00CD7374" w:rsidP="00D702D3">
      <w:r w:rsidRPr="00D80988">
        <w:t>8</w:t>
      </w:r>
      <w:r w:rsidRPr="00D80988">
        <w:noBreakHyphen/>
        <w:t>1401. IPC Section 202 General Definitions.</w:t>
      </w:r>
    </w:p>
    <w:p w14:paraId="7F308B2A" w14:textId="77777777" w:rsidR="00CD7374" w:rsidRPr="00D80988" w:rsidRDefault="00CD7374" w:rsidP="00D702D3"/>
    <w:p w14:paraId="0457C0E0" w14:textId="77777777" w:rsidR="00CD7374" w:rsidRPr="00D80988" w:rsidRDefault="00CD7374" w:rsidP="00D702D3">
      <w:r w:rsidRPr="00D80988">
        <w:t>Drinking fountain: A plumbing fixture that is connected to the potable water distribution system and the drainage system. The fixture allows the user to obtain a drink directly from a stream of flowing water without the use of any accessories. Such fixtures can be separate from or integral to a bottle</w:t>
      </w:r>
      <w:r w:rsidRPr="00D80988">
        <w:noBreakHyphen/>
        <w:t>filling station.</w:t>
      </w:r>
    </w:p>
    <w:p w14:paraId="358EF32B" w14:textId="77777777" w:rsidR="00CD7374" w:rsidRPr="00D80988" w:rsidRDefault="00CD7374" w:rsidP="00D702D3"/>
    <w:p w14:paraId="48138F63" w14:textId="77777777" w:rsidR="00CD7374" w:rsidRPr="00D80988" w:rsidRDefault="00CD7374" w:rsidP="00D702D3">
      <w:r w:rsidRPr="00D80988">
        <w:t xml:space="preserve">Bottle Filling Station: A type of water dispenser that is connected to the potable water distribution system and the drainage system. The fixture is designed and intended for automatically or manually filling personal use drinking water bottles or containers not less than 10 inches (254 mm) in height and is in compliance with the American with Disabilities Act (42 U.S.C. </w:t>
      </w:r>
      <w:r w:rsidRPr="00D80988">
        <w:rPr>
          <w:rFonts w:cs="Times New Roman"/>
        </w:rPr>
        <w:t>§</w:t>
      </w:r>
      <w:r w:rsidRPr="00D80988">
        <w:t xml:space="preserve"> 12101 et seq.). Such fixtures can be </w:t>
      </w:r>
      <w:proofErr w:type="gramStart"/>
      <w:r w:rsidRPr="00D80988">
        <w:t>separate</w:t>
      </w:r>
      <w:proofErr w:type="gramEnd"/>
      <w:r w:rsidRPr="00D80988">
        <w:t xml:space="preserve"> from or integral to a drinking fountain and can incorporate a water filter and a cooling system for chilling the drinking water.</w:t>
      </w:r>
    </w:p>
    <w:p w14:paraId="3170AFD8" w14:textId="77777777" w:rsidR="00CD7374" w:rsidRPr="00D80988" w:rsidRDefault="00CD7374" w:rsidP="00D702D3"/>
    <w:p w14:paraId="4B16B401" w14:textId="77777777" w:rsidR="00CD7374" w:rsidRPr="00D80988" w:rsidRDefault="00CD7374" w:rsidP="00D702D3">
      <w:r w:rsidRPr="00D80988">
        <w:lastRenderedPageBreak/>
        <w:t>Water Cooler: A drinking fountain or bottle filling station that incorporates a means of reducing the temperature of the water supplied to it from the potable water distribution system.</w:t>
      </w:r>
    </w:p>
    <w:p w14:paraId="41046F97" w14:textId="77777777" w:rsidR="00CD7374" w:rsidRPr="00D80988" w:rsidRDefault="00CD7374" w:rsidP="00D702D3"/>
    <w:p w14:paraId="6239DCE7" w14:textId="45B1F43C" w:rsidR="00CD7374" w:rsidRPr="00D80988" w:rsidRDefault="00CD7374" w:rsidP="00D702D3">
      <w:r w:rsidRPr="00D80988">
        <w:t>Water Dispenser: A plumbing fixture that is automatic or manually controlled by the user for the purpose of dispensing potable drinking water into a receptacle such as a cup, glass or bottle. Such fixture is connected to the potable water distribution system of the premises. This definition includes a freestanding apparatus for the same purpose that is not connected to the potable water distribution system and that is supplied with potable water from a container, bottle or reservoir.</w:t>
      </w:r>
    </w:p>
    <w:p w14:paraId="60DC7D15" w14:textId="77777777" w:rsidR="00CD7374" w:rsidRPr="00D80988" w:rsidRDefault="00CD7374" w:rsidP="00D702D3"/>
    <w:p w14:paraId="05B76F71" w14:textId="77777777" w:rsidR="00CD7374" w:rsidRPr="00D80988" w:rsidRDefault="00CD7374" w:rsidP="00D702D3">
      <w:r w:rsidRPr="00D80988">
        <w:t>8</w:t>
      </w:r>
      <w:r w:rsidRPr="00D80988">
        <w:noBreakHyphen/>
        <w:t>1402. IPC Table 403.1 Minimum Number of Required Plumbing Fixtures.</w:t>
      </w:r>
    </w:p>
    <w:p w14:paraId="693AE93C" w14:textId="77777777" w:rsidR="00CD7374" w:rsidRPr="00D80988" w:rsidRDefault="00CD7374" w:rsidP="00D702D3"/>
    <w:p w14:paraId="2A0128CE" w14:textId="55AFCFD3" w:rsidR="00CD7374" w:rsidRPr="00D80988" w:rsidRDefault="00CD7374" w:rsidP="00D702D3">
      <w:r w:rsidRPr="00D80988">
        <w:t xml:space="preserve"> </w:t>
      </w:r>
    </w:p>
    <w:tbl>
      <w:tblPr>
        <w:tblStyle w:val="TableGrid"/>
        <w:tblW w:w="0" w:type="auto"/>
        <w:tblLayout w:type="fixed"/>
        <w:tblLook w:val="04A0" w:firstRow="1" w:lastRow="0" w:firstColumn="1" w:lastColumn="0" w:noHBand="0" w:noVBand="1"/>
      </w:tblPr>
      <w:tblGrid>
        <w:gridCol w:w="625"/>
        <w:gridCol w:w="1440"/>
        <w:gridCol w:w="1260"/>
        <w:gridCol w:w="445"/>
        <w:gridCol w:w="545"/>
        <w:gridCol w:w="459"/>
        <w:gridCol w:w="621"/>
        <w:gridCol w:w="990"/>
        <w:gridCol w:w="90"/>
        <w:gridCol w:w="900"/>
        <w:gridCol w:w="862"/>
      </w:tblGrid>
      <w:tr w:rsidR="00D80988" w:rsidRPr="00D80988" w14:paraId="5AADE270" w14:textId="77777777" w:rsidTr="007170D3">
        <w:trPr>
          <w:trHeight w:val="1380"/>
        </w:trPr>
        <w:tc>
          <w:tcPr>
            <w:tcW w:w="625" w:type="dxa"/>
            <w:vMerge w:val="restart"/>
          </w:tcPr>
          <w:p w14:paraId="09871DFD" w14:textId="77777777" w:rsidR="00D80988" w:rsidRPr="00D80988" w:rsidRDefault="00D80988" w:rsidP="001B57FC">
            <w:pPr>
              <w:jc w:val="both"/>
              <w:rPr>
                <w:rFonts w:ascii="Times New Roman" w:hAnsi="Times New Roman" w:cs="Times New Roman"/>
                <w:sz w:val="20"/>
                <w:szCs w:val="20"/>
              </w:rPr>
            </w:pPr>
          </w:p>
          <w:p w14:paraId="1F961A66"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No.</w:t>
            </w:r>
          </w:p>
        </w:tc>
        <w:tc>
          <w:tcPr>
            <w:tcW w:w="1440" w:type="dxa"/>
            <w:vMerge w:val="restart"/>
          </w:tcPr>
          <w:p w14:paraId="5C7F8A54" w14:textId="77777777" w:rsidR="00D80988" w:rsidRPr="00D80988" w:rsidRDefault="00D80988" w:rsidP="001B57FC">
            <w:pPr>
              <w:jc w:val="both"/>
              <w:rPr>
                <w:rFonts w:ascii="Times New Roman" w:hAnsi="Times New Roman" w:cs="Times New Roman"/>
                <w:sz w:val="20"/>
                <w:szCs w:val="20"/>
              </w:rPr>
            </w:pPr>
          </w:p>
          <w:p w14:paraId="23EA991A"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Classification</w:t>
            </w:r>
          </w:p>
        </w:tc>
        <w:tc>
          <w:tcPr>
            <w:tcW w:w="1260" w:type="dxa"/>
            <w:vMerge w:val="restart"/>
          </w:tcPr>
          <w:p w14:paraId="7A003316" w14:textId="77777777" w:rsidR="00D80988" w:rsidRPr="00D80988" w:rsidRDefault="00D80988" w:rsidP="001B57FC">
            <w:pPr>
              <w:jc w:val="both"/>
              <w:rPr>
                <w:rFonts w:ascii="Times New Roman" w:hAnsi="Times New Roman" w:cs="Times New Roman"/>
                <w:sz w:val="20"/>
                <w:szCs w:val="20"/>
              </w:rPr>
            </w:pPr>
          </w:p>
          <w:p w14:paraId="74B4DF7B"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Description</w:t>
            </w:r>
          </w:p>
        </w:tc>
        <w:tc>
          <w:tcPr>
            <w:tcW w:w="990" w:type="dxa"/>
            <w:gridSpan w:val="2"/>
          </w:tcPr>
          <w:p w14:paraId="59EE61B3" w14:textId="77777777" w:rsidR="00D80988" w:rsidRPr="00D80988" w:rsidRDefault="00D80988" w:rsidP="001B57FC">
            <w:pPr>
              <w:jc w:val="both"/>
              <w:rPr>
                <w:rFonts w:ascii="Times New Roman" w:hAnsi="Times New Roman" w:cs="Times New Roman"/>
                <w:sz w:val="20"/>
                <w:szCs w:val="20"/>
              </w:rPr>
            </w:pPr>
          </w:p>
          <w:p w14:paraId="2926FF26"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Water Closets</w:t>
            </w:r>
          </w:p>
          <w:p w14:paraId="58171697"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(Urinals: See Section 424.2)</w:t>
            </w:r>
          </w:p>
          <w:p w14:paraId="08CA8B21" w14:textId="77777777" w:rsidR="00D80988" w:rsidRPr="00D80988" w:rsidRDefault="00D80988" w:rsidP="00CD7374">
            <w:pPr>
              <w:jc w:val="both"/>
              <w:rPr>
                <w:rFonts w:ascii="Times New Roman" w:hAnsi="Times New Roman" w:cs="Times New Roman"/>
                <w:sz w:val="20"/>
                <w:szCs w:val="20"/>
              </w:rPr>
            </w:pPr>
          </w:p>
        </w:tc>
        <w:tc>
          <w:tcPr>
            <w:tcW w:w="1080" w:type="dxa"/>
            <w:gridSpan w:val="2"/>
          </w:tcPr>
          <w:p w14:paraId="5D483685" w14:textId="77777777" w:rsidR="00D80988" w:rsidRPr="00D80988" w:rsidRDefault="00D80988" w:rsidP="001B57FC">
            <w:pPr>
              <w:jc w:val="both"/>
              <w:rPr>
                <w:rFonts w:ascii="Times New Roman" w:hAnsi="Times New Roman" w:cs="Times New Roman"/>
                <w:sz w:val="20"/>
                <w:szCs w:val="20"/>
              </w:rPr>
            </w:pPr>
          </w:p>
          <w:p w14:paraId="36607BBC"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Lavatories</w:t>
            </w:r>
          </w:p>
          <w:p w14:paraId="2E77B8F5" w14:textId="77777777" w:rsidR="00D80988" w:rsidRPr="00D80988" w:rsidRDefault="00D80988" w:rsidP="001B57FC">
            <w:pPr>
              <w:jc w:val="both"/>
              <w:rPr>
                <w:rFonts w:ascii="Times New Roman" w:hAnsi="Times New Roman" w:cs="Times New Roman"/>
                <w:sz w:val="20"/>
                <w:szCs w:val="20"/>
              </w:rPr>
            </w:pPr>
          </w:p>
          <w:p w14:paraId="41FF6ACB" w14:textId="77777777" w:rsidR="00D80988" w:rsidRPr="00D80988" w:rsidRDefault="00D80988" w:rsidP="00CD7374">
            <w:pPr>
              <w:jc w:val="both"/>
              <w:rPr>
                <w:rFonts w:ascii="Times New Roman" w:hAnsi="Times New Roman" w:cs="Times New Roman"/>
                <w:sz w:val="20"/>
                <w:szCs w:val="20"/>
              </w:rPr>
            </w:pPr>
          </w:p>
        </w:tc>
        <w:tc>
          <w:tcPr>
            <w:tcW w:w="990" w:type="dxa"/>
            <w:vMerge w:val="restart"/>
          </w:tcPr>
          <w:p w14:paraId="7EB0B4C6" w14:textId="77777777" w:rsidR="00D80988" w:rsidRPr="00D80988" w:rsidRDefault="00D80988" w:rsidP="001B57FC">
            <w:pPr>
              <w:jc w:val="both"/>
              <w:rPr>
                <w:rFonts w:ascii="Times New Roman" w:hAnsi="Times New Roman" w:cs="Times New Roman"/>
                <w:sz w:val="20"/>
                <w:szCs w:val="20"/>
              </w:rPr>
            </w:pPr>
          </w:p>
          <w:p w14:paraId="5C1417A0"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Bathtubs/</w:t>
            </w:r>
          </w:p>
          <w:p w14:paraId="09DB2D2B"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Showers</w:t>
            </w:r>
          </w:p>
        </w:tc>
        <w:tc>
          <w:tcPr>
            <w:tcW w:w="990" w:type="dxa"/>
            <w:gridSpan w:val="2"/>
            <w:vMerge w:val="restart"/>
          </w:tcPr>
          <w:p w14:paraId="38608E82" w14:textId="77777777" w:rsidR="00D80988" w:rsidRPr="00D80988" w:rsidRDefault="00D80988" w:rsidP="001B57FC">
            <w:pPr>
              <w:jc w:val="both"/>
              <w:rPr>
                <w:rFonts w:ascii="Times New Roman" w:hAnsi="Times New Roman" w:cs="Times New Roman"/>
                <w:sz w:val="20"/>
                <w:szCs w:val="20"/>
              </w:rPr>
            </w:pPr>
          </w:p>
          <w:p w14:paraId="6B47DA6E"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Drinking</w:t>
            </w:r>
          </w:p>
          <w:p w14:paraId="3E93998F"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Fountain</w:t>
            </w:r>
          </w:p>
          <w:p w14:paraId="3F76D67F"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See Section 410</w:t>
            </w:r>
          </w:p>
        </w:tc>
        <w:tc>
          <w:tcPr>
            <w:tcW w:w="862" w:type="dxa"/>
            <w:vMerge w:val="restart"/>
          </w:tcPr>
          <w:p w14:paraId="4D0F8DEB" w14:textId="77777777" w:rsidR="00D80988" w:rsidRPr="00D80988" w:rsidRDefault="00D80988" w:rsidP="001B57FC">
            <w:pPr>
              <w:jc w:val="both"/>
              <w:rPr>
                <w:rFonts w:ascii="Times New Roman" w:hAnsi="Times New Roman" w:cs="Times New Roman"/>
                <w:sz w:val="20"/>
                <w:szCs w:val="20"/>
              </w:rPr>
            </w:pPr>
          </w:p>
          <w:p w14:paraId="68C44AA8"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Other</w:t>
            </w:r>
          </w:p>
        </w:tc>
      </w:tr>
      <w:tr w:rsidR="00D80988" w:rsidRPr="00D80988" w14:paraId="490ECB3C" w14:textId="77777777" w:rsidTr="007170D3">
        <w:trPr>
          <w:trHeight w:val="575"/>
        </w:trPr>
        <w:tc>
          <w:tcPr>
            <w:tcW w:w="625" w:type="dxa"/>
            <w:vMerge/>
          </w:tcPr>
          <w:p w14:paraId="5BD4BF73" w14:textId="77777777" w:rsidR="00D80988" w:rsidRPr="00D80988" w:rsidRDefault="00D80988" w:rsidP="005A1755">
            <w:pPr>
              <w:rPr>
                <w:rFonts w:ascii="Times New Roman" w:hAnsi="Times New Roman" w:cs="Times New Roman"/>
                <w:sz w:val="20"/>
                <w:szCs w:val="20"/>
              </w:rPr>
            </w:pPr>
          </w:p>
        </w:tc>
        <w:tc>
          <w:tcPr>
            <w:tcW w:w="1440" w:type="dxa"/>
            <w:vMerge/>
          </w:tcPr>
          <w:p w14:paraId="0BC173AD" w14:textId="77777777" w:rsidR="00D80988" w:rsidRPr="00D80988" w:rsidRDefault="00D80988" w:rsidP="005A1755">
            <w:pPr>
              <w:rPr>
                <w:rFonts w:ascii="Times New Roman" w:hAnsi="Times New Roman" w:cs="Times New Roman"/>
                <w:sz w:val="20"/>
                <w:szCs w:val="20"/>
              </w:rPr>
            </w:pPr>
          </w:p>
        </w:tc>
        <w:tc>
          <w:tcPr>
            <w:tcW w:w="1260" w:type="dxa"/>
            <w:vMerge/>
          </w:tcPr>
          <w:p w14:paraId="177F5F9C" w14:textId="77777777" w:rsidR="00D80988" w:rsidRPr="00D80988" w:rsidRDefault="00D80988" w:rsidP="00CD7374">
            <w:pPr>
              <w:jc w:val="both"/>
              <w:rPr>
                <w:rFonts w:ascii="Times New Roman" w:hAnsi="Times New Roman" w:cs="Times New Roman"/>
                <w:sz w:val="20"/>
                <w:szCs w:val="20"/>
              </w:rPr>
            </w:pPr>
          </w:p>
        </w:tc>
        <w:tc>
          <w:tcPr>
            <w:tcW w:w="445" w:type="dxa"/>
          </w:tcPr>
          <w:p w14:paraId="0C839A26"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M</w:t>
            </w:r>
          </w:p>
        </w:tc>
        <w:tc>
          <w:tcPr>
            <w:tcW w:w="545" w:type="dxa"/>
          </w:tcPr>
          <w:p w14:paraId="2FBD594E"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F</w:t>
            </w:r>
          </w:p>
        </w:tc>
        <w:tc>
          <w:tcPr>
            <w:tcW w:w="459" w:type="dxa"/>
          </w:tcPr>
          <w:p w14:paraId="0E17D357"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M</w:t>
            </w:r>
          </w:p>
        </w:tc>
        <w:tc>
          <w:tcPr>
            <w:tcW w:w="621" w:type="dxa"/>
          </w:tcPr>
          <w:p w14:paraId="43136774"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F</w:t>
            </w:r>
          </w:p>
        </w:tc>
        <w:tc>
          <w:tcPr>
            <w:tcW w:w="990" w:type="dxa"/>
            <w:vMerge/>
          </w:tcPr>
          <w:p w14:paraId="5A74A57B" w14:textId="77777777" w:rsidR="00D80988" w:rsidRPr="00D80988" w:rsidRDefault="00D80988" w:rsidP="005A1755">
            <w:pPr>
              <w:rPr>
                <w:rFonts w:ascii="Times New Roman" w:hAnsi="Times New Roman" w:cs="Times New Roman"/>
                <w:sz w:val="20"/>
                <w:szCs w:val="20"/>
              </w:rPr>
            </w:pPr>
          </w:p>
        </w:tc>
        <w:tc>
          <w:tcPr>
            <w:tcW w:w="990" w:type="dxa"/>
            <w:gridSpan w:val="2"/>
            <w:vMerge/>
          </w:tcPr>
          <w:p w14:paraId="47FD3F71" w14:textId="77777777" w:rsidR="00D80988" w:rsidRPr="00D80988" w:rsidRDefault="00D80988" w:rsidP="005A1755">
            <w:pPr>
              <w:rPr>
                <w:rFonts w:ascii="Times New Roman" w:hAnsi="Times New Roman" w:cs="Times New Roman"/>
                <w:sz w:val="20"/>
                <w:szCs w:val="20"/>
              </w:rPr>
            </w:pPr>
          </w:p>
        </w:tc>
        <w:tc>
          <w:tcPr>
            <w:tcW w:w="862" w:type="dxa"/>
            <w:vMerge/>
          </w:tcPr>
          <w:p w14:paraId="5977B122" w14:textId="77777777" w:rsidR="00D80988" w:rsidRPr="00D80988" w:rsidRDefault="00D80988" w:rsidP="00CD7374">
            <w:pPr>
              <w:jc w:val="both"/>
              <w:rPr>
                <w:rFonts w:ascii="Times New Roman" w:hAnsi="Times New Roman" w:cs="Times New Roman"/>
                <w:sz w:val="20"/>
                <w:szCs w:val="20"/>
              </w:rPr>
            </w:pPr>
          </w:p>
        </w:tc>
      </w:tr>
      <w:tr w:rsidR="00D80988" w:rsidRPr="00D80988" w14:paraId="66F919F4" w14:textId="77777777" w:rsidTr="007170D3">
        <w:trPr>
          <w:trHeight w:val="1718"/>
        </w:trPr>
        <w:tc>
          <w:tcPr>
            <w:tcW w:w="625" w:type="dxa"/>
          </w:tcPr>
          <w:p w14:paraId="5797A53F" w14:textId="77777777" w:rsidR="00D80988" w:rsidRPr="00D80988" w:rsidRDefault="00D80988" w:rsidP="001B57FC">
            <w:pPr>
              <w:jc w:val="both"/>
              <w:rPr>
                <w:rFonts w:ascii="Times New Roman" w:hAnsi="Times New Roman" w:cs="Times New Roman"/>
                <w:sz w:val="20"/>
                <w:szCs w:val="20"/>
              </w:rPr>
            </w:pPr>
          </w:p>
          <w:p w14:paraId="6FAB43AA" w14:textId="77777777" w:rsidR="00D80988" w:rsidRPr="00D80988" w:rsidRDefault="00D80988" w:rsidP="001B57FC">
            <w:pPr>
              <w:jc w:val="both"/>
              <w:rPr>
                <w:rFonts w:ascii="Times New Roman" w:hAnsi="Times New Roman" w:cs="Times New Roman"/>
                <w:sz w:val="20"/>
                <w:szCs w:val="20"/>
              </w:rPr>
            </w:pPr>
          </w:p>
          <w:p w14:paraId="184FD289"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3</w:t>
            </w:r>
          </w:p>
        </w:tc>
        <w:tc>
          <w:tcPr>
            <w:tcW w:w="1440" w:type="dxa"/>
          </w:tcPr>
          <w:p w14:paraId="494C9C53" w14:textId="77777777" w:rsidR="00D80988" w:rsidRPr="00D80988" w:rsidRDefault="00D80988" w:rsidP="001B57FC">
            <w:pPr>
              <w:jc w:val="both"/>
              <w:rPr>
                <w:rFonts w:ascii="Times New Roman" w:hAnsi="Times New Roman" w:cs="Times New Roman"/>
                <w:sz w:val="20"/>
                <w:szCs w:val="20"/>
              </w:rPr>
            </w:pPr>
          </w:p>
          <w:p w14:paraId="1B15EBBB" w14:textId="77777777" w:rsidR="00D80988" w:rsidRPr="00D80988" w:rsidRDefault="00D80988" w:rsidP="001B57FC">
            <w:pPr>
              <w:jc w:val="both"/>
              <w:rPr>
                <w:rFonts w:ascii="Times New Roman" w:hAnsi="Times New Roman" w:cs="Times New Roman"/>
                <w:sz w:val="20"/>
                <w:szCs w:val="20"/>
              </w:rPr>
            </w:pPr>
          </w:p>
          <w:p w14:paraId="330114AA" w14:textId="77777777" w:rsidR="00D80988" w:rsidRPr="00D80988" w:rsidRDefault="00D80988" w:rsidP="005A1755">
            <w:pPr>
              <w:jc w:val="center"/>
              <w:rPr>
                <w:rFonts w:ascii="Times New Roman" w:hAnsi="Times New Roman" w:cs="Times New Roman"/>
                <w:sz w:val="20"/>
                <w:szCs w:val="20"/>
              </w:rPr>
            </w:pPr>
            <w:r w:rsidRPr="00D80988">
              <w:rPr>
                <w:rFonts w:ascii="Times New Roman" w:hAnsi="Times New Roman" w:cs="Times New Roman"/>
                <w:sz w:val="20"/>
                <w:szCs w:val="20"/>
              </w:rPr>
              <w:t>Educational</w:t>
            </w:r>
          </w:p>
        </w:tc>
        <w:tc>
          <w:tcPr>
            <w:tcW w:w="1260" w:type="dxa"/>
          </w:tcPr>
          <w:p w14:paraId="4B828C48" w14:textId="77777777" w:rsidR="00D80988" w:rsidRPr="00D80988" w:rsidRDefault="00D80988" w:rsidP="001B57FC">
            <w:pPr>
              <w:jc w:val="both"/>
              <w:rPr>
                <w:rFonts w:ascii="Times New Roman" w:hAnsi="Times New Roman" w:cs="Times New Roman"/>
                <w:sz w:val="20"/>
                <w:szCs w:val="20"/>
              </w:rPr>
            </w:pPr>
          </w:p>
          <w:p w14:paraId="6A4C8DC8" w14:textId="77777777" w:rsidR="00D80988" w:rsidRPr="00D80988" w:rsidRDefault="00D80988" w:rsidP="001B57FC">
            <w:pPr>
              <w:jc w:val="both"/>
              <w:rPr>
                <w:rFonts w:ascii="Times New Roman" w:hAnsi="Times New Roman" w:cs="Times New Roman"/>
                <w:sz w:val="20"/>
                <w:szCs w:val="20"/>
              </w:rPr>
            </w:pPr>
          </w:p>
          <w:p w14:paraId="15E81384"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Educational</w:t>
            </w:r>
          </w:p>
          <w:p w14:paraId="03416AFA"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Facilities</w:t>
            </w:r>
          </w:p>
        </w:tc>
        <w:tc>
          <w:tcPr>
            <w:tcW w:w="990" w:type="dxa"/>
            <w:gridSpan w:val="2"/>
          </w:tcPr>
          <w:p w14:paraId="7FB198E3" w14:textId="77777777" w:rsidR="00D80988" w:rsidRPr="00D80988" w:rsidRDefault="00D80988" w:rsidP="001B57FC">
            <w:pPr>
              <w:jc w:val="both"/>
              <w:rPr>
                <w:rFonts w:ascii="Times New Roman" w:hAnsi="Times New Roman" w:cs="Times New Roman"/>
                <w:sz w:val="20"/>
                <w:szCs w:val="20"/>
              </w:rPr>
            </w:pPr>
          </w:p>
          <w:p w14:paraId="5B4332C7" w14:textId="77777777" w:rsidR="00D80988" w:rsidRPr="00D80988" w:rsidRDefault="00D80988" w:rsidP="001B57FC">
            <w:pPr>
              <w:jc w:val="both"/>
              <w:rPr>
                <w:rFonts w:ascii="Times New Roman" w:hAnsi="Times New Roman" w:cs="Times New Roman"/>
                <w:sz w:val="20"/>
                <w:szCs w:val="20"/>
              </w:rPr>
            </w:pPr>
          </w:p>
          <w:p w14:paraId="3BFFE5DE" w14:textId="77777777" w:rsidR="00D80988" w:rsidRPr="00D80988" w:rsidRDefault="00D80988" w:rsidP="005A1755">
            <w:pPr>
              <w:jc w:val="center"/>
              <w:rPr>
                <w:rFonts w:ascii="Times New Roman" w:hAnsi="Times New Roman" w:cs="Times New Roman"/>
                <w:sz w:val="20"/>
                <w:szCs w:val="20"/>
              </w:rPr>
            </w:pPr>
            <w:r w:rsidRPr="00D80988">
              <w:rPr>
                <w:rFonts w:ascii="Times New Roman" w:hAnsi="Times New Roman" w:cs="Times New Roman"/>
                <w:sz w:val="20"/>
                <w:szCs w:val="20"/>
              </w:rPr>
              <w:t>1 per 50</w:t>
            </w:r>
          </w:p>
        </w:tc>
        <w:tc>
          <w:tcPr>
            <w:tcW w:w="1080" w:type="dxa"/>
            <w:gridSpan w:val="2"/>
          </w:tcPr>
          <w:p w14:paraId="63224CDD" w14:textId="77777777" w:rsidR="00D80988" w:rsidRPr="00D80988" w:rsidRDefault="00D80988" w:rsidP="001B57FC">
            <w:pPr>
              <w:jc w:val="both"/>
              <w:rPr>
                <w:rFonts w:ascii="Times New Roman" w:hAnsi="Times New Roman" w:cs="Times New Roman"/>
                <w:sz w:val="20"/>
                <w:szCs w:val="20"/>
              </w:rPr>
            </w:pPr>
          </w:p>
          <w:p w14:paraId="35EBA49C" w14:textId="77777777" w:rsidR="00D80988" w:rsidRPr="00D80988" w:rsidRDefault="00D80988" w:rsidP="001B57FC">
            <w:pPr>
              <w:jc w:val="both"/>
              <w:rPr>
                <w:rFonts w:ascii="Times New Roman" w:hAnsi="Times New Roman" w:cs="Times New Roman"/>
                <w:sz w:val="20"/>
                <w:szCs w:val="20"/>
              </w:rPr>
            </w:pPr>
          </w:p>
          <w:p w14:paraId="2C16C4D9"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1 per 50</w:t>
            </w:r>
          </w:p>
        </w:tc>
        <w:tc>
          <w:tcPr>
            <w:tcW w:w="1080" w:type="dxa"/>
            <w:gridSpan w:val="2"/>
          </w:tcPr>
          <w:p w14:paraId="008A79F3" w14:textId="77777777" w:rsidR="00D80988" w:rsidRPr="00D80988" w:rsidRDefault="00D80988" w:rsidP="001B57FC">
            <w:pPr>
              <w:jc w:val="both"/>
              <w:rPr>
                <w:rFonts w:ascii="Times New Roman" w:hAnsi="Times New Roman" w:cs="Times New Roman"/>
                <w:sz w:val="20"/>
                <w:szCs w:val="20"/>
              </w:rPr>
            </w:pPr>
          </w:p>
          <w:p w14:paraId="5B750CD5" w14:textId="77777777" w:rsidR="00D80988" w:rsidRPr="00D80988" w:rsidRDefault="00D80988" w:rsidP="001B57FC">
            <w:pPr>
              <w:jc w:val="both"/>
              <w:rPr>
                <w:rFonts w:ascii="Times New Roman" w:hAnsi="Times New Roman" w:cs="Times New Roman"/>
                <w:sz w:val="20"/>
                <w:szCs w:val="20"/>
              </w:rPr>
            </w:pPr>
          </w:p>
          <w:p w14:paraId="347A3201" w14:textId="77777777" w:rsidR="00D80988" w:rsidRPr="00D80988" w:rsidRDefault="00D80988" w:rsidP="005A1755">
            <w:pPr>
              <w:jc w:val="center"/>
              <w:rPr>
                <w:rFonts w:ascii="Times New Roman" w:hAnsi="Times New Roman" w:cs="Times New Roman"/>
                <w:sz w:val="20"/>
                <w:szCs w:val="20"/>
              </w:rPr>
            </w:pPr>
            <w:r w:rsidRPr="00D80988">
              <w:rPr>
                <w:rFonts w:ascii="Times New Roman" w:hAnsi="Times New Roman" w:cs="Times New Roman"/>
                <w:sz w:val="20"/>
                <w:szCs w:val="20"/>
              </w:rPr>
              <w:t>–</w:t>
            </w:r>
          </w:p>
          <w:p w14:paraId="4EDD2183" w14:textId="77777777" w:rsidR="00D80988" w:rsidRPr="00D80988" w:rsidRDefault="00D80988" w:rsidP="005A1755">
            <w:pPr>
              <w:jc w:val="center"/>
              <w:rPr>
                <w:rFonts w:ascii="Times New Roman" w:hAnsi="Times New Roman" w:cs="Times New Roman"/>
                <w:sz w:val="20"/>
                <w:szCs w:val="20"/>
              </w:rPr>
            </w:pPr>
            <w:r w:rsidRPr="00D80988">
              <w:rPr>
                <w:rFonts w:ascii="Times New Roman" w:hAnsi="Times New Roman" w:cs="Times New Roman"/>
                <w:sz w:val="20"/>
                <w:szCs w:val="20"/>
              </w:rPr>
              <w:t xml:space="preserve"> </w:t>
            </w:r>
          </w:p>
        </w:tc>
        <w:tc>
          <w:tcPr>
            <w:tcW w:w="900" w:type="dxa"/>
          </w:tcPr>
          <w:p w14:paraId="145B6D91" w14:textId="77777777" w:rsidR="00D80988" w:rsidRPr="00D80988" w:rsidRDefault="00D80988" w:rsidP="001B57FC">
            <w:pPr>
              <w:jc w:val="both"/>
              <w:rPr>
                <w:rFonts w:ascii="Times New Roman" w:hAnsi="Times New Roman" w:cs="Times New Roman"/>
                <w:sz w:val="20"/>
                <w:szCs w:val="20"/>
              </w:rPr>
            </w:pPr>
          </w:p>
          <w:p w14:paraId="12871863" w14:textId="77777777" w:rsidR="00D80988" w:rsidRPr="00D80988" w:rsidRDefault="00D80988" w:rsidP="001B57FC">
            <w:pPr>
              <w:jc w:val="both"/>
              <w:rPr>
                <w:rFonts w:ascii="Times New Roman" w:hAnsi="Times New Roman" w:cs="Times New Roman"/>
                <w:sz w:val="20"/>
                <w:szCs w:val="20"/>
              </w:rPr>
            </w:pPr>
          </w:p>
          <w:p w14:paraId="63BF5718"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1 per</w:t>
            </w:r>
          </w:p>
          <w:p w14:paraId="3E7D1859"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 xml:space="preserve"> 100</w:t>
            </w:r>
          </w:p>
          <w:p w14:paraId="601BE5FF" w14:textId="77777777" w:rsidR="00D80988" w:rsidRPr="00D80988" w:rsidRDefault="00D80988" w:rsidP="00CD7374">
            <w:pPr>
              <w:jc w:val="both"/>
              <w:rPr>
                <w:rFonts w:ascii="Times New Roman" w:hAnsi="Times New Roman" w:cs="Times New Roman"/>
                <w:sz w:val="20"/>
                <w:szCs w:val="20"/>
              </w:rPr>
            </w:pPr>
          </w:p>
        </w:tc>
        <w:tc>
          <w:tcPr>
            <w:tcW w:w="862" w:type="dxa"/>
          </w:tcPr>
          <w:p w14:paraId="29535569" w14:textId="77777777" w:rsidR="00D80988" w:rsidRPr="00D80988" w:rsidRDefault="00D80988" w:rsidP="001B57FC">
            <w:pPr>
              <w:jc w:val="both"/>
              <w:rPr>
                <w:rFonts w:ascii="Times New Roman" w:hAnsi="Times New Roman" w:cs="Times New Roman"/>
                <w:sz w:val="20"/>
                <w:szCs w:val="20"/>
              </w:rPr>
            </w:pPr>
          </w:p>
          <w:p w14:paraId="7D005497" w14:textId="77777777" w:rsidR="00D80988" w:rsidRPr="00D80988" w:rsidRDefault="00D80988" w:rsidP="001B57FC">
            <w:pPr>
              <w:jc w:val="both"/>
              <w:rPr>
                <w:rFonts w:ascii="Times New Roman" w:hAnsi="Times New Roman" w:cs="Times New Roman"/>
                <w:sz w:val="20"/>
                <w:szCs w:val="20"/>
              </w:rPr>
            </w:pPr>
          </w:p>
          <w:p w14:paraId="10BA0E95"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1 service</w:t>
            </w:r>
          </w:p>
          <w:p w14:paraId="4CCE28FE" w14:textId="77777777" w:rsidR="00D80988" w:rsidRPr="00D80988" w:rsidRDefault="00D80988" w:rsidP="001B57FC">
            <w:pPr>
              <w:jc w:val="both"/>
              <w:rPr>
                <w:rFonts w:ascii="Times New Roman" w:hAnsi="Times New Roman" w:cs="Times New Roman"/>
                <w:sz w:val="20"/>
                <w:szCs w:val="20"/>
              </w:rPr>
            </w:pPr>
            <w:r w:rsidRPr="00D80988">
              <w:rPr>
                <w:rFonts w:ascii="Times New Roman" w:hAnsi="Times New Roman" w:cs="Times New Roman"/>
                <w:sz w:val="20"/>
                <w:szCs w:val="20"/>
              </w:rPr>
              <w:t>sink</w:t>
            </w:r>
          </w:p>
        </w:tc>
      </w:tr>
    </w:tbl>
    <w:p w14:paraId="7D658672" w14:textId="77777777" w:rsidR="00CD7374" w:rsidRPr="00D80988" w:rsidRDefault="00CD7374" w:rsidP="00D702D3"/>
    <w:p w14:paraId="3AE3B754" w14:textId="77777777" w:rsidR="00CD7374" w:rsidRPr="00D80988" w:rsidRDefault="00CD7374" w:rsidP="00D702D3">
      <w:r w:rsidRPr="00D80988">
        <w:t>8</w:t>
      </w:r>
      <w:r w:rsidRPr="00D80988">
        <w:noBreakHyphen/>
        <w:t>1403. IPC 403.1.1 Fixture calculations.</w:t>
      </w:r>
    </w:p>
    <w:p w14:paraId="4CFCEB5B" w14:textId="77777777" w:rsidR="00CD7374" w:rsidRPr="00D80988" w:rsidRDefault="00CD7374" w:rsidP="00D702D3"/>
    <w:p w14:paraId="1DDDD3BC" w14:textId="77777777" w:rsidR="00CD7374" w:rsidRPr="00D80988" w:rsidRDefault="00CD7374" w:rsidP="00D702D3">
      <w:r w:rsidRPr="00D80988">
        <w:t>To determine the occupant load of each sex, the total occupant load shall be divided in half. To determine the required number of fixtures, the fixture ratio or ratios for each fixture type shall be applied to the occupant load of each sex in accordance with Table 403.1. Fractional numbers resulting from applying the fixture ratios of Table 403.1 shall be rounded up to the next whole number. For calculations involving multiple occupancies, such fractional numbers for each occupancy shall first be summed and then rounded up to the next whole number.</w:t>
      </w:r>
    </w:p>
    <w:p w14:paraId="62108652" w14:textId="77777777" w:rsidR="00CD7374" w:rsidRPr="00D80988" w:rsidRDefault="00CD7374" w:rsidP="00D702D3"/>
    <w:p w14:paraId="2EFDEC61" w14:textId="77777777" w:rsidR="00CD7374" w:rsidRPr="00D80988" w:rsidRDefault="00CD7374" w:rsidP="003C730E">
      <w:r w:rsidRPr="00D80988">
        <w:tab/>
        <w:t>Exception: The total occupant load shall not be required to be divided in half where approved statistical data indicate a distribution of the sexes of other than 50 percent of each sex.</w:t>
      </w:r>
    </w:p>
    <w:p w14:paraId="5E6210FD" w14:textId="77777777" w:rsidR="00CD7374" w:rsidRPr="00D80988" w:rsidRDefault="00CD7374" w:rsidP="00D702D3"/>
    <w:p w14:paraId="7332AC3F" w14:textId="77777777" w:rsidR="00CD7374" w:rsidRPr="00D80988" w:rsidRDefault="00CD7374" w:rsidP="00D702D3">
      <w:r w:rsidRPr="00D80988">
        <w:t>8</w:t>
      </w:r>
      <w:r w:rsidRPr="00D80988">
        <w:noBreakHyphen/>
        <w:t>1404. IPC 403.2 Separate facilities.</w:t>
      </w:r>
    </w:p>
    <w:p w14:paraId="7A06F421" w14:textId="77777777" w:rsidR="00CD7374" w:rsidRPr="00D80988" w:rsidRDefault="00CD7374" w:rsidP="00D702D3"/>
    <w:p w14:paraId="77D090F1" w14:textId="77777777" w:rsidR="00CD7374" w:rsidRPr="00D80988" w:rsidRDefault="00CD7374" w:rsidP="00D702D3">
      <w:r w:rsidRPr="00D80988">
        <w:t>Where plumbing fixtures are required, separate toilet facilities shall be provided for each sex.</w:t>
      </w:r>
    </w:p>
    <w:p w14:paraId="1755709A" w14:textId="77777777" w:rsidR="00CD7374" w:rsidRPr="00D80988" w:rsidRDefault="00CD7374" w:rsidP="00D702D3"/>
    <w:p w14:paraId="43CD91F2" w14:textId="77777777" w:rsidR="00CD7374" w:rsidRPr="00D80988" w:rsidRDefault="00CD7374" w:rsidP="00D702D3">
      <w:r w:rsidRPr="00D80988">
        <w:tab/>
        <w:t>Exceptions:</w:t>
      </w:r>
    </w:p>
    <w:p w14:paraId="4064CE20" w14:textId="77777777" w:rsidR="00CD7374" w:rsidRPr="00D80988" w:rsidRDefault="00CD7374" w:rsidP="00D702D3">
      <w:r w:rsidRPr="00D80988">
        <w:tab/>
        <w:t>1.</w:t>
      </w:r>
      <w:r w:rsidRPr="00D80988">
        <w:tab/>
        <w:t>Separate toilet facilities shall not be required for dwelling units and sleeping units.</w:t>
      </w:r>
    </w:p>
    <w:p w14:paraId="764479F6" w14:textId="77777777" w:rsidR="00CD7374" w:rsidRPr="00D80988" w:rsidRDefault="00CD7374" w:rsidP="00D702D3">
      <w:r w:rsidRPr="00D80988">
        <w:tab/>
        <w:t>2.</w:t>
      </w:r>
      <w:r w:rsidRPr="00D80988">
        <w:tab/>
        <w:t>Separate toilet facilities shall not be required in structures or tenant spaces with a total occupant load, including both employees and customers, of 15 or fewer.</w:t>
      </w:r>
    </w:p>
    <w:p w14:paraId="3C07D87D" w14:textId="77777777" w:rsidR="00CD7374" w:rsidRPr="00D80988" w:rsidRDefault="00CD7374" w:rsidP="00D702D3">
      <w:r w:rsidRPr="00D80988">
        <w:lastRenderedPageBreak/>
        <w:tab/>
        <w:t>3.</w:t>
      </w:r>
      <w:r w:rsidRPr="00D80988">
        <w:tab/>
        <w:t>Separate toilet facilities shall not be required in mercantile occupancies in which the maximum occupant load is 100 or fewer.</w:t>
      </w:r>
    </w:p>
    <w:p w14:paraId="140912A6" w14:textId="77777777" w:rsidR="00CD7374" w:rsidRPr="00D80988" w:rsidRDefault="00CD7374" w:rsidP="00D702D3">
      <w:r w:rsidRPr="00D80988">
        <w:tab/>
        <w:t>4.</w:t>
      </w:r>
      <w:r w:rsidRPr="00D80988">
        <w:tab/>
        <w:t xml:space="preserve">Separate toilet facilities shall not be required in business </w:t>
      </w:r>
      <w:proofErr w:type="gramStart"/>
      <w:r w:rsidRPr="00D80988">
        <w:t>occupancies</w:t>
      </w:r>
      <w:proofErr w:type="gramEnd"/>
      <w:r w:rsidRPr="00D80988">
        <w:t xml:space="preserve"> in which the maximum occupant load is 25 or fewer.</w:t>
      </w:r>
    </w:p>
    <w:p w14:paraId="3B1D189C" w14:textId="77777777" w:rsidR="00CD7374" w:rsidRPr="00D80988" w:rsidRDefault="00CD7374" w:rsidP="00D702D3">
      <w:r w:rsidRPr="00D80988">
        <w:tab/>
        <w:t>5.</w:t>
      </w:r>
      <w:r w:rsidRPr="00D80988">
        <w:tab/>
        <w:t>Separate toilet facilities shall not be required to be designated by sex where single</w:t>
      </w:r>
      <w:r w:rsidRPr="00D80988">
        <w:noBreakHyphen/>
        <w:t>user toilet rooms are provided in accordance with Section 403.1.2.</w:t>
      </w:r>
    </w:p>
    <w:p w14:paraId="6645FC40" w14:textId="77777777" w:rsidR="00CD7374" w:rsidRPr="00D80988" w:rsidRDefault="00CD7374" w:rsidP="00D702D3"/>
    <w:p w14:paraId="25EB0C74" w14:textId="3E4E353D" w:rsidR="00CD7374" w:rsidRPr="00D80988" w:rsidRDefault="00CD7374" w:rsidP="00D702D3">
      <w:r w:rsidRPr="00D80988">
        <w:t>8</w:t>
      </w:r>
      <w:r w:rsidRPr="00D80988">
        <w:noBreakHyphen/>
        <w:t>1405. IPC Section 410. 4 Substitution.</w:t>
      </w:r>
    </w:p>
    <w:p w14:paraId="45497284" w14:textId="77777777" w:rsidR="00CD7374" w:rsidRPr="00D80988" w:rsidRDefault="00CD7374" w:rsidP="00D702D3"/>
    <w:p w14:paraId="2DBB0A85" w14:textId="678648D8" w:rsidR="00CD7374" w:rsidRPr="00D80988" w:rsidRDefault="00CD7374" w:rsidP="00D702D3">
      <w:r w:rsidRPr="00D80988">
        <w:t xml:space="preserve">Where restaurants provide drinking water in a container free of charge, drinking fountains shall not be required in those restaurants. In other occupancies where three or more drinking fountains are required, water dispensers shall be permitted to be substituted for not more than 50 percent of the required number of drinking fountains. </w:t>
      </w:r>
    </w:p>
    <w:p w14:paraId="7B8F5E9D" w14:textId="77777777" w:rsidR="00CD7374" w:rsidRPr="00D80988" w:rsidRDefault="00CD7374" w:rsidP="00B1149A">
      <w:pPr>
        <w:tabs>
          <w:tab w:val="left" w:pos="475"/>
          <w:tab w:val="left" w:pos="2304"/>
          <w:tab w:val="center" w:pos="6494"/>
          <w:tab w:val="left" w:pos="7373"/>
          <w:tab w:val="left" w:pos="8554"/>
        </w:tabs>
      </w:pPr>
    </w:p>
    <w:p w14:paraId="462DA61F" w14:textId="77777777" w:rsidR="00CD7374" w:rsidRPr="00D80988" w:rsidRDefault="00CD7374" w:rsidP="0073566C">
      <w:pPr>
        <w:rPr>
          <w:b/>
        </w:rPr>
      </w:pPr>
      <w:r w:rsidRPr="00D80988">
        <w:rPr>
          <w:b/>
        </w:rPr>
        <w:t>Fiscal Impact Statement:</w:t>
      </w:r>
    </w:p>
    <w:p w14:paraId="604ABB1E" w14:textId="77777777" w:rsidR="00CD7374" w:rsidRPr="00D80988" w:rsidRDefault="00CD7374" w:rsidP="0073566C">
      <w:pPr>
        <w:rPr>
          <w:bCs/>
        </w:rPr>
      </w:pPr>
    </w:p>
    <w:p w14:paraId="2DF94F28" w14:textId="77777777" w:rsidR="00CD7374" w:rsidRPr="00D80988" w:rsidRDefault="00CD7374" w:rsidP="0073566C">
      <w:pPr>
        <w:rPr>
          <w:b/>
        </w:rPr>
      </w:pPr>
      <w:r w:rsidRPr="00D80988">
        <w:rPr>
          <w:b/>
        </w:rPr>
        <w:tab/>
      </w:r>
      <w:r w:rsidRPr="00D80988">
        <w:t>There will be no cost incurred by the State or any of its political subdivisions for these regulations.</w:t>
      </w:r>
    </w:p>
    <w:p w14:paraId="505E8287" w14:textId="77777777" w:rsidR="00CD7374" w:rsidRPr="00D80988" w:rsidRDefault="00CD7374" w:rsidP="005E2CDF"/>
    <w:p w14:paraId="54C25C71" w14:textId="77777777" w:rsidR="00CD7374" w:rsidRPr="00D80988" w:rsidRDefault="00CD7374" w:rsidP="0073566C">
      <w:pPr>
        <w:rPr>
          <w:b/>
        </w:rPr>
      </w:pPr>
      <w:r w:rsidRPr="00D80988">
        <w:rPr>
          <w:b/>
        </w:rPr>
        <w:t>Statement of Rationale:</w:t>
      </w:r>
    </w:p>
    <w:p w14:paraId="3F614E5E" w14:textId="77777777" w:rsidR="00CD7374" w:rsidRPr="00D80988" w:rsidRDefault="00CD7374" w:rsidP="0073566C">
      <w:pPr>
        <w:rPr>
          <w:bCs/>
        </w:rPr>
      </w:pPr>
    </w:p>
    <w:p w14:paraId="13083488" w14:textId="77777777" w:rsidR="00CD7374" w:rsidRPr="00D80988" w:rsidRDefault="00CD7374" w:rsidP="0073566C">
      <w:pPr>
        <w:rPr>
          <w:b/>
        </w:rPr>
      </w:pPr>
      <w:r w:rsidRPr="00D80988">
        <w:rPr>
          <w:b/>
        </w:rPr>
        <w:tab/>
      </w:r>
      <w:r w:rsidRPr="00D80988">
        <w:rPr>
          <w:rFonts w:eastAsia="Calibri"/>
        </w:rPr>
        <w:t xml:space="preserve">The South Carolina Building Codes Council </w:t>
      </w:r>
      <w:r w:rsidRPr="00D80988">
        <w:t xml:space="preserve">proposes to amend Chapter 8, Article 14, to reflect modifications to the 2024 South Carolina Building Codes, the International Plumbing Code. </w:t>
      </w:r>
    </w:p>
    <w:sectPr w:rsidR="00CD7374" w:rsidRPr="00D80988" w:rsidSect="00112A3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AC999" w14:textId="77777777" w:rsidR="00112A38" w:rsidRDefault="00112A38" w:rsidP="00112A38">
      <w:r>
        <w:separator/>
      </w:r>
    </w:p>
  </w:endnote>
  <w:endnote w:type="continuationSeparator" w:id="0">
    <w:p w14:paraId="7FC21213" w14:textId="77777777" w:rsidR="00112A38" w:rsidRDefault="00112A38" w:rsidP="0011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430612"/>
      <w:docPartObj>
        <w:docPartGallery w:val="Page Numbers (Bottom of Page)"/>
        <w:docPartUnique/>
      </w:docPartObj>
    </w:sdtPr>
    <w:sdtEndPr>
      <w:rPr>
        <w:noProof/>
      </w:rPr>
    </w:sdtEndPr>
    <w:sdtContent>
      <w:p w14:paraId="24FDB5AF" w14:textId="295C5F09" w:rsidR="00112A38" w:rsidRDefault="00112A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A0723C" w14:textId="77777777" w:rsidR="00112A38" w:rsidRDefault="00112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83A35" w14:textId="77777777" w:rsidR="00112A38" w:rsidRDefault="00112A38" w:rsidP="00112A38">
      <w:r>
        <w:separator/>
      </w:r>
    </w:p>
  </w:footnote>
  <w:footnote w:type="continuationSeparator" w:id="0">
    <w:p w14:paraId="5A8DAAEE" w14:textId="77777777" w:rsidR="00112A38" w:rsidRDefault="00112A38" w:rsidP="00112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9A"/>
    <w:rsid w:val="000069C4"/>
    <w:rsid w:val="00020191"/>
    <w:rsid w:val="00020B7A"/>
    <w:rsid w:val="00032B2F"/>
    <w:rsid w:val="00051DA0"/>
    <w:rsid w:val="0005274A"/>
    <w:rsid w:val="000552B4"/>
    <w:rsid w:val="00091754"/>
    <w:rsid w:val="00093591"/>
    <w:rsid w:val="000A7FC7"/>
    <w:rsid w:val="000B4F39"/>
    <w:rsid w:val="00112A38"/>
    <w:rsid w:val="00113A9D"/>
    <w:rsid w:val="0012104A"/>
    <w:rsid w:val="00144F98"/>
    <w:rsid w:val="00147913"/>
    <w:rsid w:val="00151FF9"/>
    <w:rsid w:val="0015480A"/>
    <w:rsid w:val="00155CFC"/>
    <w:rsid w:val="001B57FC"/>
    <w:rsid w:val="001C2E02"/>
    <w:rsid w:val="00205E1B"/>
    <w:rsid w:val="00214EEC"/>
    <w:rsid w:val="002407F1"/>
    <w:rsid w:val="002476F0"/>
    <w:rsid w:val="002B17A0"/>
    <w:rsid w:val="002D128E"/>
    <w:rsid w:val="00300776"/>
    <w:rsid w:val="00311302"/>
    <w:rsid w:val="00350392"/>
    <w:rsid w:val="003536B5"/>
    <w:rsid w:val="00394C47"/>
    <w:rsid w:val="003C0D54"/>
    <w:rsid w:val="003D5A5C"/>
    <w:rsid w:val="00420ED0"/>
    <w:rsid w:val="0043202D"/>
    <w:rsid w:val="0043690B"/>
    <w:rsid w:val="00472B09"/>
    <w:rsid w:val="00475B9C"/>
    <w:rsid w:val="004A1E22"/>
    <w:rsid w:val="004A385B"/>
    <w:rsid w:val="004B2E01"/>
    <w:rsid w:val="005004AB"/>
    <w:rsid w:val="00546D5C"/>
    <w:rsid w:val="005919C8"/>
    <w:rsid w:val="005B083D"/>
    <w:rsid w:val="005F7F72"/>
    <w:rsid w:val="00601846"/>
    <w:rsid w:val="006064FC"/>
    <w:rsid w:val="006256A5"/>
    <w:rsid w:val="00650DAD"/>
    <w:rsid w:val="006653C3"/>
    <w:rsid w:val="006C0C85"/>
    <w:rsid w:val="006C56D3"/>
    <w:rsid w:val="006E7568"/>
    <w:rsid w:val="00762FCE"/>
    <w:rsid w:val="007C3F6F"/>
    <w:rsid w:val="007D450F"/>
    <w:rsid w:val="007E3911"/>
    <w:rsid w:val="007F33F5"/>
    <w:rsid w:val="007F628F"/>
    <w:rsid w:val="0086626D"/>
    <w:rsid w:val="008B0DB4"/>
    <w:rsid w:val="008B4786"/>
    <w:rsid w:val="008C2D5D"/>
    <w:rsid w:val="008C7892"/>
    <w:rsid w:val="008D583D"/>
    <w:rsid w:val="008E3E3D"/>
    <w:rsid w:val="00944E8F"/>
    <w:rsid w:val="00946E71"/>
    <w:rsid w:val="00952535"/>
    <w:rsid w:val="0097484C"/>
    <w:rsid w:val="009803A0"/>
    <w:rsid w:val="00987999"/>
    <w:rsid w:val="0099330A"/>
    <w:rsid w:val="00A41409"/>
    <w:rsid w:val="00AD4AE9"/>
    <w:rsid w:val="00B02AC2"/>
    <w:rsid w:val="00B1149A"/>
    <w:rsid w:val="00B44316"/>
    <w:rsid w:val="00B5010F"/>
    <w:rsid w:val="00B8745C"/>
    <w:rsid w:val="00BA39BF"/>
    <w:rsid w:val="00C017CC"/>
    <w:rsid w:val="00C04095"/>
    <w:rsid w:val="00C2103D"/>
    <w:rsid w:val="00C35DD6"/>
    <w:rsid w:val="00C748AC"/>
    <w:rsid w:val="00C84FD3"/>
    <w:rsid w:val="00C95DA3"/>
    <w:rsid w:val="00CD7374"/>
    <w:rsid w:val="00CE3F5B"/>
    <w:rsid w:val="00D63DEF"/>
    <w:rsid w:val="00D80988"/>
    <w:rsid w:val="00D82B20"/>
    <w:rsid w:val="00D84649"/>
    <w:rsid w:val="00D85757"/>
    <w:rsid w:val="00D87D10"/>
    <w:rsid w:val="00DE3A3C"/>
    <w:rsid w:val="00E04586"/>
    <w:rsid w:val="00ED45E7"/>
    <w:rsid w:val="00EF66E7"/>
    <w:rsid w:val="00F1539E"/>
    <w:rsid w:val="00F24B7F"/>
    <w:rsid w:val="00F46965"/>
    <w:rsid w:val="00F56041"/>
    <w:rsid w:val="00F8493E"/>
    <w:rsid w:val="00FB32D6"/>
    <w:rsid w:val="00FD454E"/>
    <w:rsid w:val="00FD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2653"/>
  <w15:chartTrackingRefBased/>
  <w15:docId w15:val="{92153567-B218-440A-8708-553AE74B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4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4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14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149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149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149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149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49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4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14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14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14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14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14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14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4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4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14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149A"/>
    <w:rPr>
      <w:i/>
      <w:iCs/>
      <w:color w:val="404040" w:themeColor="text1" w:themeTint="BF"/>
    </w:rPr>
  </w:style>
  <w:style w:type="paragraph" w:styleId="ListParagraph">
    <w:name w:val="List Paragraph"/>
    <w:basedOn w:val="Normal"/>
    <w:uiPriority w:val="34"/>
    <w:qFormat/>
    <w:rsid w:val="00B1149A"/>
    <w:pPr>
      <w:ind w:left="720"/>
      <w:contextualSpacing/>
    </w:pPr>
  </w:style>
  <w:style w:type="character" w:styleId="IntenseEmphasis">
    <w:name w:val="Intense Emphasis"/>
    <w:basedOn w:val="DefaultParagraphFont"/>
    <w:uiPriority w:val="21"/>
    <w:qFormat/>
    <w:rsid w:val="00B1149A"/>
    <w:rPr>
      <w:i/>
      <w:iCs/>
      <w:color w:val="0F4761" w:themeColor="accent1" w:themeShade="BF"/>
    </w:rPr>
  </w:style>
  <w:style w:type="paragraph" w:styleId="IntenseQuote">
    <w:name w:val="Intense Quote"/>
    <w:basedOn w:val="Normal"/>
    <w:next w:val="Normal"/>
    <w:link w:val="IntenseQuoteChar"/>
    <w:uiPriority w:val="30"/>
    <w:qFormat/>
    <w:rsid w:val="00B11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49A"/>
    <w:rPr>
      <w:i/>
      <w:iCs/>
      <w:color w:val="0F4761" w:themeColor="accent1" w:themeShade="BF"/>
    </w:rPr>
  </w:style>
  <w:style w:type="character" w:styleId="IntenseReference">
    <w:name w:val="Intense Reference"/>
    <w:basedOn w:val="DefaultParagraphFont"/>
    <w:uiPriority w:val="32"/>
    <w:qFormat/>
    <w:rsid w:val="00B1149A"/>
    <w:rPr>
      <w:b/>
      <w:bCs/>
      <w:smallCaps/>
      <w:color w:val="0F4761" w:themeColor="accent1" w:themeShade="BF"/>
      <w:spacing w:val="5"/>
    </w:rPr>
  </w:style>
  <w:style w:type="table" w:styleId="TableGrid">
    <w:name w:val="Table Grid"/>
    <w:basedOn w:val="TableNormal"/>
    <w:uiPriority w:val="39"/>
    <w:rsid w:val="00B1149A"/>
    <w:pPr>
      <w:jc w:val="left"/>
    </w:pPr>
    <w:rPr>
      <w:rFonts w:ascii="Arial" w:hAnsi="Arial" w:cs="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2A38"/>
    <w:pPr>
      <w:tabs>
        <w:tab w:val="center" w:pos="4680"/>
        <w:tab w:val="right" w:pos="9360"/>
      </w:tabs>
    </w:pPr>
  </w:style>
  <w:style w:type="character" w:customStyle="1" w:styleId="HeaderChar">
    <w:name w:val="Header Char"/>
    <w:basedOn w:val="DefaultParagraphFont"/>
    <w:link w:val="Header"/>
    <w:uiPriority w:val="99"/>
    <w:rsid w:val="00112A38"/>
  </w:style>
  <w:style w:type="paragraph" w:styleId="Footer">
    <w:name w:val="footer"/>
    <w:basedOn w:val="Normal"/>
    <w:link w:val="FooterChar"/>
    <w:uiPriority w:val="99"/>
    <w:unhideWhenUsed/>
    <w:rsid w:val="00112A38"/>
    <w:pPr>
      <w:tabs>
        <w:tab w:val="center" w:pos="4680"/>
        <w:tab w:val="right" w:pos="9360"/>
      </w:tabs>
    </w:pPr>
  </w:style>
  <w:style w:type="character" w:customStyle="1" w:styleId="FooterChar">
    <w:name w:val="Footer Char"/>
    <w:basedOn w:val="DefaultParagraphFont"/>
    <w:link w:val="Footer"/>
    <w:uiPriority w:val="99"/>
    <w:rsid w:val="00112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953</Words>
  <Characters>5433</Characters>
  <Application>Microsoft Office Word</Application>
  <DocSecurity>0</DocSecurity>
  <Lines>45</Lines>
  <Paragraphs>12</Paragraphs>
  <ScaleCrop>false</ScaleCrop>
  <Company>Legislative Services Agency</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2026-05-04T16:49:00Z</cp:lastPrinted>
  <dcterms:created xsi:type="dcterms:W3CDTF">2026-05-04T16:52:00Z</dcterms:created>
  <dcterms:modified xsi:type="dcterms:W3CDTF">2026-05-04T16:52:00Z</dcterms:modified>
</cp:coreProperties>
</file>