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4B2E" w:rsidRDefault="004B5053">
      <w:pPr>
        <w:widowControl w:val="0"/>
        <w:jc w:val="center"/>
        <w:rPr>
          <w:rFonts w:cs="Times New Roman"/>
        </w:rPr>
      </w:pPr>
      <w:bookmarkStart w:id="0" w:name="_GoBack"/>
      <w:bookmarkEnd w:id="0"/>
      <w:r>
        <w:rPr>
          <w:rFonts w:cs="Times New Roman"/>
          <w:b/>
        </w:rPr>
        <w:t>South Carolina General Assembly</w:t>
      </w:r>
    </w:p>
    <w:p w:rsidR="00514B2E" w:rsidRDefault="004B5053">
      <w:pPr>
        <w:widowControl w:val="0"/>
        <w:jc w:val="center"/>
        <w:rPr>
          <w:rFonts w:cs="Times New Roman"/>
        </w:rPr>
      </w:pPr>
      <w:r>
        <w:rPr>
          <w:rFonts w:cs="Times New Roman"/>
        </w:rPr>
        <w:t>118th Session, 2009-2010</w:t>
      </w:r>
    </w:p>
    <w:p w:rsidR="00514B2E" w:rsidRDefault="00514B2E">
      <w:pPr>
        <w:widowControl w:val="0"/>
        <w:jc w:val="left"/>
        <w:rPr>
          <w:rFonts w:cs="Times New Roman"/>
        </w:rPr>
      </w:pPr>
    </w:p>
    <w:p w:rsidR="00514B2E" w:rsidRDefault="004B5053">
      <w:pPr>
        <w:widowControl w:val="0"/>
        <w:jc w:val="left"/>
        <w:rPr>
          <w:rFonts w:cs="Times New Roman"/>
          <w:b/>
        </w:rPr>
      </w:pPr>
      <w:r>
        <w:rPr>
          <w:rFonts w:cs="Times New Roman"/>
          <w:b/>
        </w:rPr>
        <w:t>S. 127</w:t>
      </w:r>
    </w:p>
    <w:p w:rsidR="00514B2E" w:rsidRDefault="00514B2E">
      <w:pPr>
        <w:widowControl w:val="0"/>
        <w:jc w:val="left"/>
        <w:rPr>
          <w:rFonts w:cs="Times New Roman"/>
          <w:b/>
        </w:rPr>
      </w:pPr>
    </w:p>
    <w:p w:rsidR="00514B2E" w:rsidRDefault="004B5053">
      <w:pPr>
        <w:widowControl w:val="0"/>
        <w:jc w:val="left"/>
        <w:rPr>
          <w:rFonts w:cs="Times New Roman"/>
        </w:rPr>
      </w:pPr>
      <w:r>
        <w:rPr>
          <w:rFonts w:cs="Times New Roman"/>
          <w:b/>
        </w:rPr>
        <w:t>STATUS INFORMATION</w:t>
      </w:r>
    </w:p>
    <w:p w:rsidR="00514B2E" w:rsidRDefault="00514B2E">
      <w:pPr>
        <w:widowControl w:val="0"/>
        <w:jc w:val="left"/>
        <w:rPr>
          <w:rFonts w:cs="Times New Roman"/>
        </w:rPr>
      </w:pPr>
    </w:p>
    <w:p w:rsidR="00514B2E" w:rsidRDefault="004B5053">
      <w:pPr>
        <w:widowControl w:val="0"/>
        <w:jc w:val="left"/>
        <w:rPr>
          <w:rFonts w:cs="Times New Roman"/>
        </w:rPr>
      </w:pPr>
      <w:r>
        <w:rPr>
          <w:rFonts w:cs="Times New Roman"/>
        </w:rPr>
        <w:t>General Bill</w:t>
      </w:r>
    </w:p>
    <w:p w:rsidR="00514B2E" w:rsidRDefault="004B5053">
      <w:pPr>
        <w:widowControl w:val="0"/>
        <w:jc w:val="left"/>
        <w:rPr>
          <w:rFonts w:cs="Times New Roman"/>
        </w:rPr>
      </w:pPr>
      <w:r>
        <w:rPr>
          <w:rFonts w:cs="Times New Roman"/>
        </w:rPr>
        <w:t>Sponsors: Senators Sheheen and Massey</w:t>
      </w:r>
    </w:p>
    <w:p w:rsidR="00514B2E" w:rsidRDefault="004B5053">
      <w:pPr>
        <w:widowControl w:val="0"/>
        <w:jc w:val="left"/>
        <w:rPr>
          <w:rFonts w:cs="Times New Roman"/>
        </w:rPr>
      </w:pPr>
      <w:r>
        <w:rPr>
          <w:rFonts w:cs="Times New Roman"/>
        </w:rPr>
        <w:t>Document Path: l:\council\bills\ms\7031ahb09.docx</w:t>
      </w:r>
    </w:p>
    <w:p w:rsidR="00514B2E" w:rsidRDefault="00514B2E">
      <w:pPr>
        <w:widowControl w:val="0"/>
        <w:jc w:val="left"/>
        <w:rPr>
          <w:rFonts w:cs="Times New Roman"/>
        </w:rPr>
      </w:pPr>
    </w:p>
    <w:p w:rsidR="00514B2E" w:rsidRDefault="004B5053">
      <w:pPr>
        <w:widowControl w:val="0"/>
        <w:jc w:val="left"/>
        <w:rPr>
          <w:rFonts w:cs="Times New Roman"/>
        </w:rPr>
      </w:pPr>
      <w:r>
        <w:rPr>
          <w:rFonts w:cs="Times New Roman"/>
        </w:rPr>
        <w:t>Introduced in the Senate on January 13, 2009</w:t>
      </w:r>
    </w:p>
    <w:p w:rsidR="00514B2E" w:rsidRDefault="004B5053">
      <w:pPr>
        <w:widowControl w:val="0"/>
        <w:jc w:val="left"/>
        <w:rPr>
          <w:rFonts w:cs="Times New Roman"/>
        </w:rPr>
      </w:pPr>
      <w:r>
        <w:rPr>
          <w:rFonts w:cs="Times New Roman"/>
        </w:rPr>
        <w:t xml:space="preserve">Currently residing in the Senate Committee on </w:t>
      </w:r>
      <w:r>
        <w:rPr>
          <w:rFonts w:cs="Times New Roman"/>
          <w:b/>
        </w:rPr>
        <w:t>Judiciary</w:t>
      </w:r>
    </w:p>
    <w:p w:rsidR="00514B2E" w:rsidRDefault="00514B2E">
      <w:pPr>
        <w:widowControl w:val="0"/>
        <w:jc w:val="left"/>
        <w:rPr>
          <w:rFonts w:cs="Times New Roman"/>
        </w:rPr>
      </w:pPr>
    </w:p>
    <w:p w:rsidR="00514B2E" w:rsidRDefault="004B5053">
      <w:pPr>
        <w:widowControl w:val="0"/>
        <w:jc w:val="left"/>
        <w:rPr>
          <w:rFonts w:cs="Times New Roman"/>
        </w:rPr>
      </w:pPr>
      <w:r>
        <w:rPr>
          <w:rFonts w:cs="Times New Roman"/>
        </w:rPr>
        <w:t>Summary: County officials</w:t>
      </w:r>
    </w:p>
    <w:p w:rsidR="00514B2E" w:rsidRDefault="00514B2E">
      <w:pPr>
        <w:widowControl w:val="0"/>
        <w:jc w:val="left"/>
        <w:rPr>
          <w:rFonts w:cs="Times New Roman"/>
        </w:rPr>
      </w:pPr>
    </w:p>
    <w:p w:rsidR="00514B2E" w:rsidRDefault="00514B2E">
      <w:pPr>
        <w:widowControl w:val="0"/>
        <w:jc w:val="left"/>
        <w:rPr>
          <w:rFonts w:cs="Times New Roman"/>
        </w:rPr>
      </w:pPr>
    </w:p>
    <w:p w:rsidR="00514B2E" w:rsidRDefault="004B5053">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514B2E" w:rsidRDefault="00514B2E">
      <w:pPr>
        <w:widowControl w:val="0"/>
        <w:tabs>
          <w:tab w:val="center" w:pos="590"/>
          <w:tab w:val="center" w:pos="1440"/>
          <w:tab w:val="left" w:pos="1872"/>
          <w:tab w:val="left" w:pos="9187"/>
        </w:tabs>
        <w:jc w:val="left"/>
        <w:rPr>
          <w:rFonts w:cs="Times New Roman"/>
        </w:rPr>
      </w:pPr>
    </w:p>
    <w:p w:rsidR="00514B2E" w:rsidRDefault="004B5053">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514B2E" w:rsidRDefault="004B505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514B2E" w:rsidRDefault="004B5053">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Judiciary</w:t>
      </w:r>
    </w:p>
    <w:p w:rsidR="00514B2E" w:rsidRDefault="004B505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303111">
          <w:rPr>
            <w:rStyle w:val="Hyperlink"/>
            <w:rFonts w:cs="Times New Roman"/>
          </w:rPr>
          <w:t>SJ</w:t>
        </w:r>
      </w:hyperlink>
      <w:r>
        <w:rPr>
          <w:rFonts w:cs="Times New Roman"/>
        </w:rPr>
        <w:noBreakHyphen/>
        <w:t>129</w:t>
      </w:r>
    </w:p>
    <w:p w:rsidR="00514B2E" w:rsidRDefault="004B5053">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Judiciary</w:t>
      </w:r>
      <w:r>
        <w:rPr>
          <w:rFonts w:cs="Times New Roman"/>
        </w:rPr>
        <w:t xml:space="preserve"> </w:t>
      </w:r>
      <w:hyperlink r:id="rId7" w:history="1">
        <w:r w:rsidRPr="00303111">
          <w:rPr>
            <w:rStyle w:val="Hyperlink"/>
            <w:rFonts w:cs="Times New Roman"/>
          </w:rPr>
          <w:t>SJ</w:t>
        </w:r>
      </w:hyperlink>
      <w:r>
        <w:rPr>
          <w:rFonts w:cs="Times New Roman"/>
        </w:rPr>
        <w:noBreakHyphen/>
        <w:t>129</w:t>
      </w:r>
    </w:p>
    <w:p w:rsidR="00514B2E" w:rsidRDefault="004B5053">
      <w:pPr>
        <w:widowControl w:val="0"/>
        <w:tabs>
          <w:tab w:val="right" w:pos="1008"/>
          <w:tab w:val="left" w:pos="1152"/>
          <w:tab w:val="left" w:pos="1872"/>
          <w:tab w:val="left" w:pos="9187"/>
        </w:tabs>
        <w:ind w:left="2088" w:hanging="2088"/>
        <w:jc w:val="left"/>
        <w:rPr>
          <w:rFonts w:cs="Times New Roman"/>
        </w:rPr>
      </w:pPr>
      <w:r>
        <w:rPr>
          <w:rFonts w:cs="Times New Roman"/>
        </w:rPr>
        <w:tab/>
        <w:t>1/23/2009</w:t>
      </w:r>
      <w:r>
        <w:rPr>
          <w:rFonts w:cs="Times New Roman"/>
        </w:rPr>
        <w:tab/>
        <w:t>Senate</w:t>
      </w:r>
      <w:r>
        <w:rPr>
          <w:rFonts w:cs="Times New Roman"/>
        </w:rPr>
        <w:tab/>
        <w:t>Referred to Subcommittee: L.Martin (ch), Rankin, Hutto, Bright, Davis</w:t>
      </w:r>
    </w:p>
    <w:p w:rsidR="00514B2E" w:rsidRDefault="00514B2E">
      <w:pPr>
        <w:widowControl w:val="0"/>
        <w:tabs>
          <w:tab w:val="right" w:pos="1008"/>
          <w:tab w:val="left" w:pos="1152"/>
          <w:tab w:val="left" w:pos="1872"/>
          <w:tab w:val="left" w:pos="9187"/>
        </w:tabs>
        <w:ind w:left="2088" w:hanging="2088"/>
        <w:jc w:val="left"/>
        <w:rPr>
          <w:rFonts w:cs="Times New Roman"/>
        </w:rPr>
      </w:pPr>
    </w:p>
    <w:p w:rsidR="00514B2E" w:rsidRDefault="00514B2E">
      <w:pPr>
        <w:widowControl w:val="0"/>
        <w:tabs>
          <w:tab w:val="right" w:pos="1008"/>
          <w:tab w:val="left" w:pos="1152"/>
          <w:tab w:val="left" w:pos="1872"/>
          <w:tab w:val="left" w:pos="9187"/>
        </w:tabs>
        <w:ind w:left="2088" w:hanging="2088"/>
        <w:jc w:val="left"/>
        <w:rPr>
          <w:rFonts w:cs="Times New Roman"/>
        </w:rPr>
      </w:pPr>
    </w:p>
    <w:p w:rsidR="00514B2E" w:rsidRDefault="004B5053">
      <w:pPr>
        <w:widowControl w:val="0"/>
        <w:jc w:val="left"/>
        <w:rPr>
          <w:rFonts w:cs="Times New Roman"/>
        </w:rPr>
      </w:pPr>
      <w:r>
        <w:rPr>
          <w:rFonts w:cs="Times New Roman"/>
          <w:b/>
        </w:rPr>
        <w:t>VERSIONS OF THIS BILL</w:t>
      </w:r>
    </w:p>
    <w:p w:rsidR="00514B2E" w:rsidRDefault="00514B2E">
      <w:pPr>
        <w:widowControl w:val="0"/>
        <w:jc w:val="left"/>
        <w:rPr>
          <w:rFonts w:cs="Times New Roman"/>
        </w:rPr>
      </w:pPr>
    </w:p>
    <w:p w:rsidR="00514B2E" w:rsidRDefault="00C83AB0">
      <w:pPr>
        <w:widowControl w:val="0"/>
        <w:jc w:val="left"/>
        <w:rPr>
          <w:rFonts w:cs="Times New Roman"/>
        </w:rPr>
      </w:pPr>
      <w:hyperlink r:id="rId8" w:history="1">
        <w:r w:rsidR="004B5053">
          <w:rPr>
            <w:rStyle w:val="Hyperlink"/>
            <w:rFonts w:cs="Times New Roman"/>
          </w:rPr>
          <w:t>12/10/2008</w:t>
        </w:r>
      </w:hyperlink>
    </w:p>
    <w:p w:rsidR="00514B2E" w:rsidRDefault="00514B2E"/>
    <w:p w:rsidR="00514B2E" w:rsidRDefault="00514B2E">
      <w:pPr>
        <w:sectPr w:rsidR="00514B2E">
          <w:pgSz w:w="12240" w:h="15840" w:code="1"/>
          <w:pgMar w:top="1080" w:right="1440" w:bottom="1080" w:left="1440" w:header="720" w:footer="720" w:gutter="0"/>
          <w:cols w:space="720"/>
          <w:noEndnote/>
          <w:docGrid w:linePitch="360"/>
        </w:sectPr>
      </w:pPr>
    </w:p>
    <w:p w:rsidR="00514B2E" w:rsidRDefault="00514B2E">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SECTIONS 14</w:t>
      </w:r>
      <w:r>
        <w:rPr>
          <w:rFonts w:eastAsia="Times New Roman" w:cs="Times New Roman"/>
          <w:szCs w:val="20"/>
        </w:rPr>
        <w:noBreakHyphen/>
        <w:t>17</w:t>
      </w:r>
      <w:r>
        <w:rPr>
          <w:rFonts w:eastAsia="Times New Roman" w:cs="Times New Roman"/>
          <w:szCs w:val="20"/>
        </w:rPr>
        <w:noBreakHyphen/>
        <w:t>10 AND 14</w:t>
      </w:r>
      <w:r>
        <w:rPr>
          <w:rFonts w:eastAsia="Times New Roman" w:cs="Times New Roman"/>
          <w:szCs w:val="20"/>
        </w:rPr>
        <w:noBreakHyphen/>
        <w:t>23</w:t>
      </w:r>
      <w:r>
        <w:rPr>
          <w:rFonts w:eastAsia="Times New Roman" w:cs="Times New Roman"/>
          <w:szCs w:val="20"/>
        </w:rPr>
        <w:noBreakHyphen/>
        <w:t>1020, CODE OF LAWS OF SOUTH CAROLINA, 1976, RELATING TO THE ELECTION OF CLERKS OF COURT AND PROBATE JUDGES, RESPECTIVELY, SO AS TO REQUIRE THE ELECTIONS OF THESE TWO COUNTY OFFICES TO BE NONPARTISAN, TO PROVIDE FOR NONPARTISAN SPECIAL ELECTIONS WHEN A VACANCY OCCURS, AND TO PROVIDE PROCEDURES FOR THE NOMINATION OF CANDIDATES AND THE CONDUCT OF THE NONPARTISAN ELECTIONS.</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the cornerstone of our state judicial system is an independent and impartial judiciary; and</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 xml:space="preserve">Whereas, citizens of South Carolina should and do expect judges that are fair and impartial and court personnel free of potential political bias; and </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Whereas, the election of both clerks of court and probate judges in this State should be removed from the pressures of politics to advance the appropriate nonpolitical function of the judiciary and foster the role of the judiciary as an unbiased and unprejudiced branch of government.  Now, therefore,</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14</w:t>
      </w:r>
      <w:r>
        <w:rPr>
          <w:rFonts w:eastAsia="Times New Roman" w:cs="Times New Roman"/>
          <w:szCs w:val="20"/>
        </w:rPr>
        <w:noBreakHyphen/>
        <w:t>17</w:t>
      </w:r>
      <w:r>
        <w:rPr>
          <w:rFonts w:eastAsia="Times New Roman" w:cs="Times New Roman"/>
          <w:szCs w:val="20"/>
        </w:rPr>
        <w:noBreakHyphen/>
        <w:t>10 of the 1976 Code is amended to read:</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szCs w:val="20"/>
        </w:rPr>
        <w:tab/>
      </w:r>
      <w:r>
        <w:rPr>
          <w:rFonts w:eastAsia="Times New Roman" w:cs="Times New Roman"/>
          <w:bCs/>
          <w:szCs w:val="20"/>
        </w:rPr>
        <w:t>“Section 14</w:t>
      </w:r>
      <w:r>
        <w:rPr>
          <w:rFonts w:eastAsia="Times New Roman" w:cs="Times New Roman"/>
          <w:bCs/>
          <w:szCs w:val="20"/>
        </w:rPr>
        <w:noBreakHyphen/>
        <w:t>17</w:t>
      </w:r>
      <w:r>
        <w:rPr>
          <w:rFonts w:eastAsia="Times New Roman" w:cs="Times New Roman"/>
          <w:bCs/>
          <w:szCs w:val="20"/>
        </w:rPr>
        <w:noBreakHyphen/>
        <w:t>10.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There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an election for clerk of the court of common pleas in each county by the qualified </w:t>
      </w:r>
      <w:r>
        <w:rPr>
          <w:rFonts w:eastAsia="Times New Roman" w:cs="Times New Roman"/>
          <w:szCs w:val="20"/>
        </w:rPr>
        <w:lastRenderedPageBreak/>
        <w:t xml:space="preserve">voters </w:t>
      </w:r>
      <w:r>
        <w:rPr>
          <w:rFonts w:eastAsia="Times New Roman" w:cs="Times New Roman"/>
          <w:strike/>
          <w:szCs w:val="20"/>
        </w:rPr>
        <w:t>thereof</w:t>
      </w:r>
      <w:r>
        <w:rPr>
          <w:rFonts w:eastAsia="Times New Roman" w:cs="Times New Roman"/>
          <w:szCs w:val="20"/>
        </w:rPr>
        <w:t xml:space="preserve"> </w:t>
      </w:r>
      <w:r>
        <w:rPr>
          <w:rFonts w:eastAsia="Times New Roman" w:cs="Times New Roman"/>
          <w:szCs w:val="20"/>
          <w:u w:val="single"/>
        </w:rPr>
        <w:t>of the county</w:t>
      </w:r>
      <w:r>
        <w:rPr>
          <w:rFonts w:eastAsia="Times New Roman" w:cs="Times New Roman"/>
          <w:szCs w:val="20"/>
        </w:rPr>
        <w:t xml:space="preserve"> at each alternate general election, </w:t>
      </w:r>
      <w:r>
        <w:rPr>
          <w:rFonts w:eastAsia="Times New Roman" w:cs="Times New Roman"/>
          <w:strike/>
          <w:szCs w:val="20"/>
        </w:rPr>
        <w:t>reckoning from</w:t>
      </w:r>
      <w:r>
        <w:rPr>
          <w:rFonts w:eastAsia="Times New Roman" w:cs="Times New Roman"/>
          <w:szCs w:val="20"/>
        </w:rPr>
        <w:t xml:space="preserve"> </w:t>
      </w:r>
      <w:r>
        <w:rPr>
          <w:rFonts w:eastAsia="Times New Roman" w:cs="Times New Roman"/>
          <w:szCs w:val="20"/>
          <w:u w:val="single"/>
        </w:rPr>
        <w:t>beginning with</w:t>
      </w:r>
      <w:r>
        <w:rPr>
          <w:rFonts w:eastAsia="Times New Roman" w:cs="Times New Roman"/>
          <w:szCs w:val="20"/>
        </w:rPr>
        <w:t xml:space="preserve"> the election in the year 1960. </w:t>
      </w: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clerk of the court of common pleas must be elected in a nonpartisan election in accordance with the provisions of subsection (A).  Notwithstanding another provision of law, a vacancy in the office of clerk of the court of common pleas must be filled in a special election, and this special election must be nonpartisan as provided in this subsection.</w:t>
      </w: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Nomination for the office of clerk of the court of common pleas is by petition pursuant to the provisions of Section 7</w:t>
      </w:r>
      <w:r>
        <w:rPr>
          <w:rFonts w:eastAsia="Times New Roman" w:cs="Times New Roman"/>
          <w:szCs w:val="20"/>
          <w:u w:val="single"/>
        </w:rPr>
        <w:noBreakHyphen/>
        <w:t>11</w:t>
      </w:r>
      <w:r>
        <w:rPr>
          <w:rFonts w:eastAsia="Times New Roman" w:cs="Times New Roman"/>
          <w:szCs w:val="20"/>
          <w:u w:val="single"/>
        </w:rPr>
        <w:noBreakHyphen/>
        <w:t>70.  The results of the election must be determined by the nonpartisan election and runoff election method prescribed in Section 5</w:t>
      </w:r>
      <w:r>
        <w:rPr>
          <w:rFonts w:eastAsia="Times New Roman" w:cs="Times New Roman"/>
          <w:szCs w:val="20"/>
          <w:u w:val="single"/>
        </w:rPr>
        <w:noBreakHyphen/>
        <w:t>15</w:t>
      </w:r>
      <w:r>
        <w:rPr>
          <w:rFonts w:eastAsia="Times New Roman" w:cs="Times New Roman"/>
          <w:szCs w:val="20"/>
          <w:u w:val="single"/>
        </w:rPr>
        <w:noBreakHyphen/>
        <w:t>62, mutatis mutandis.</w:t>
      </w:r>
      <w:r>
        <w:rPr>
          <w:rFonts w:eastAsia="Times New Roman" w:cs="Times New Roman"/>
          <w:szCs w:val="20"/>
        </w:rPr>
        <w:t>”</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Section 14</w:t>
      </w:r>
      <w:r>
        <w:rPr>
          <w:rFonts w:eastAsia="Times New Roman" w:cs="Times New Roman"/>
          <w:szCs w:val="20"/>
        </w:rPr>
        <w:noBreakHyphen/>
        <w:t>23</w:t>
      </w:r>
      <w:r>
        <w:rPr>
          <w:rFonts w:eastAsia="Times New Roman" w:cs="Times New Roman"/>
          <w:szCs w:val="20"/>
        </w:rPr>
        <w:noBreakHyphen/>
        <w:t>1020 of the 1976 Code is amended to read:</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b/>
          <w:szCs w:val="20"/>
        </w:rPr>
        <w:tab/>
      </w:r>
      <w:r>
        <w:rPr>
          <w:rFonts w:eastAsia="Times New Roman" w:cs="Times New Roman"/>
          <w:bCs/>
          <w:szCs w:val="20"/>
        </w:rPr>
        <w:t>“Section 14</w:t>
      </w:r>
      <w:r>
        <w:rPr>
          <w:rFonts w:eastAsia="Times New Roman" w:cs="Times New Roman"/>
          <w:bCs/>
          <w:szCs w:val="20"/>
        </w:rPr>
        <w:noBreakHyphen/>
        <w:t>23</w:t>
      </w:r>
      <w:r>
        <w:rPr>
          <w:rFonts w:eastAsia="Times New Roman" w:cs="Times New Roman"/>
          <w:bCs/>
          <w:szCs w:val="20"/>
        </w:rPr>
        <w:noBreakHyphen/>
        <w:t>1020.</w:t>
      </w:r>
      <w:r>
        <w:rPr>
          <w:rFonts w:eastAsia="Times New Roman" w:cs="Times New Roman"/>
          <w:bCs/>
          <w:szCs w:val="20"/>
        </w:rPr>
        <w:tab/>
      </w:r>
      <w:r>
        <w:rPr>
          <w:rFonts w:eastAsia="Times New Roman" w:cs="Times New Roman"/>
          <w:bCs/>
          <w:szCs w:val="20"/>
          <w:u w:val="single"/>
        </w:rPr>
        <w:t>(A)</w:t>
      </w:r>
      <w:r>
        <w:rPr>
          <w:rFonts w:eastAsia="Times New Roman" w:cs="Times New Roman"/>
          <w:bCs/>
          <w:szCs w:val="20"/>
        </w:rPr>
        <w:tab/>
      </w:r>
      <w:r>
        <w:rPr>
          <w:rFonts w:eastAsia="Times New Roman" w:cs="Times New Roman"/>
          <w:szCs w:val="20"/>
        </w:rPr>
        <w:t xml:space="preserve">There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a judge of probate for each probate court.  The probate judge of each county holding office on June 30, 1976, </w:t>
      </w:r>
      <w:r>
        <w:rPr>
          <w:rFonts w:eastAsia="Times New Roman" w:cs="Times New Roman"/>
          <w:strike/>
          <w:szCs w:val="20"/>
        </w:rPr>
        <w:t>shall continue</w:t>
      </w:r>
      <w:r>
        <w:rPr>
          <w:rFonts w:eastAsia="Times New Roman" w:cs="Times New Roman"/>
          <w:szCs w:val="20"/>
        </w:rPr>
        <w:t xml:space="preserve"> </w:t>
      </w:r>
      <w:r>
        <w:rPr>
          <w:rFonts w:eastAsia="Times New Roman" w:cs="Times New Roman"/>
          <w:szCs w:val="20"/>
          <w:u w:val="single"/>
        </w:rPr>
        <w:t>continues</w:t>
      </w:r>
      <w:r>
        <w:rPr>
          <w:rFonts w:eastAsia="Times New Roman" w:cs="Times New Roman"/>
          <w:szCs w:val="20"/>
        </w:rPr>
        <w:t xml:space="preserve"> to be </w:t>
      </w:r>
      <w:r>
        <w:rPr>
          <w:rFonts w:eastAsia="Times New Roman" w:cs="Times New Roman"/>
          <w:strike/>
          <w:szCs w:val="20"/>
        </w:rPr>
        <w:t>such</w:t>
      </w:r>
      <w:r>
        <w:rPr>
          <w:rFonts w:eastAsia="Times New Roman" w:cs="Times New Roman"/>
          <w:szCs w:val="20"/>
        </w:rPr>
        <w:t xml:space="preserve"> </w:t>
      </w:r>
      <w:r>
        <w:rPr>
          <w:rFonts w:eastAsia="Times New Roman" w:cs="Times New Roman"/>
          <w:szCs w:val="20"/>
          <w:u w:val="single"/>
        </w:rPr>
        <w:t>the</w:t>
      </w:r>
      <w:r>
        <w:rPr>
          <w:rFonts w:eastAsia="Times New Roman" w:cs="Times New Roman"/>
          <w:szCs w:val="20"/>
        </w:rPr>
        <w:t xml:space="preserve"> judge of probate until the expiration of his term of office at which time his successor </w:t>
      </w:r>
      <w:r>
        <w:rPr>
          <w:rFonts w:eastAsia="Times New Roman" w:cs="Times New Roman"/>
          <w:strike/>
          <w:szCs w:val="20"/>
        </w:rPr>
        <w:t>shall</w:t>
      </w:r>
      <w:r>
        <w:rPr>
          <w:rFonts w:eastAsia="Times New Roman" w:cs="Times New Roman"/>
          <w:szCs w:val="20"/>
        </w:rPr>
        <w:t xml:space="preserve"> </w:t>
      </w:r>
      <w:r>
        <w:rPr>
          <w:rFonts w:eastAsia="Times New Roman" w:cs="Times New Roman"/>
          <w:szCs w:val="20"/>
          <w:u w:val="single"/>
        </w:rPr>
        <w:t>must</w:t>
      </w:r>
      <w:r>
        <w:rPr>
          <w:rFonts w:eastAsia="Times New Roman" w:cs="Times New Roman"/>
          <w:szCs w:val="20"/>
        </w:rPr>
        <w:t xml:space="preserve"> be selected as provided by law for a term of four years and until his successor is elected and qualifies.  </w:t>
      </w:r>
      <w:r>
        <w:rPr>
          <w:rFonts w:eastAsia="Times New Roman" w:cs="Times New Roman"/>
          <w:strike/>
          <w:szCs w:val="20"/>
        </w:rPr>
        <w:t>Except as otherwise provided by this section, any vacancy in the office of probate judge shall be filled as provided by law.</w:t>
      </w:r>
      <w:r>
        <w:rPr>
          <w:rFonts w:eastAsia="Times New Roman" w:cs="Times New Roman"/>
          <w:szCs w:val="20"/>
        </w:rPr>
        <w:t xml:space="preserve"> </w:t>
      </w: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i/>
          <w:iCs/>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The probate judge of each county must be elected in a nonpartisan election in accordance with the provisions of subsection (A).  Notwithstanding another provision of law, a vacancy in the office of probate judge must be filled in a special election, and this special election must be nonpartisan as provided in this subsection.</w:t>
      </w: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r>
      <w:r>
        <w:rPr>
          <w:rFonts w:eastAsia="Times New Roman" w:cs="Times New Roman"/>
          <w:szCs w:val="20"/>
          <w:u w:val="single"/>
        </w:rPr>
        <w:t>(C)</w:t>
      </w:r>
      <w:r>
        <w:rPr>
          <w:rFonts w:eastAsia="Times New Roman" w:cs="Times New Roman"/>
          <w:szCs w:val="20"/>
        </w:rPr>
        <w:tab/>
      </w:r>
      <w:r>
        <w:rPr>
          <w:rFonts w:eastAsia="Times New Roman" w:cs="Times New Roman"/>
          <w:szCs w:val="20"/>
          <w:u w:val="single"/>
        </w:rPr>
        <w:t>Nomination for the office of probate judge is by petition pursuant to the provisions of Section 7</w:t>
      </w:r>
      <w:r>
        <w:rPr>
          <w:rFonts w:eastAsia="Times New Roman" w:cs="Times New Roman"/>
          <w:szCs w:val="20"/>
          <w:u w:val="single"/>
        </w:rPr>
        <w:noBreakHyphen/>
        <w:t>11</w:t>
      </w:r>
      <w:r>
        <w:rPr>
          <w:rFonts w:eastAsia="Times New Roman" w:cs="Times New Roman"/>
          <w:szCs w:val="20"/>
          <w:u w:val="single"/>
        </w:rPr>
        <w:noBreakHyphen/>
        <w:t>70.  The results of the election must be determined by the nonpartisan election and runoff election method prescribed in Section 5</w:t>
      </w:r>
      <w:r>
        <w:rPr>
          <w:rFonts w:eastAsia="Times New Roman" w:cs="Times New Roman"/>
          <w:szCs w:val="20"/>
          <w:u w:val="single"/>
        </w:rPr>
        <w:noBreakHyphen/>
        <w:t>15</w:t>
      </w:r>
      <w:r>
        <w:rPr>
          <w:rFonts w:eastAsia="Times New Roman" w:cs="Times New Roman"/>
          <w:szCs w:val="20"/>
          <w:u w:val="single"/>
        </w:rPr>
        <w:noBreakHyphen/>
        <w:t>62, mutatis mutandis.</w:t>
      </w:r>
      <w:r>
        <w:rPr>
          <w:rFonts w:eastAsia="Times New Roman" w:cs="Times New Roman"/>
          <w:szCs w:val="20"/>
        </w:rPr>
        <w:t>”</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14B2E" w:rsidRDefault="0051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This act takes effect upon approval of the Governor and applies to elections and special elections for the offices of clerk of the court of common pleas and probate judge held after 2008.</w:t>
      </w:r>
    </w:p>
    <w:p w:rsidR="00514B2E" w:rsidRDefault="004B50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514B2E" w:rsidSect="00514B2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B2E" w:rsidRDefault="004B5053">
      <w:r>
        <w:separator/>
      </w:r>
    </w:p>
  </w:endnote>
  <w:endnote w:type="continuationSeparator" w:id="0">
    <w:p w:rsidR="00514B2E" w:rsidRDefault="004B5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7B0D9BB-D89F-4C5B-AC63-E95ABF8DA44F}"/>
    <w:embedBold r:id="rId2" w:fontKey="{DE487578-D467-4397-AE7D-256890F0D75E}"/>
    <w:embedItalic r:id="rId3" w:fontKey="{6CDD96CB-3858-4CBE-B05B-4A7DD3C50257}"/>
  </w:font>
  <w:font w:name="Calibri">
    <w:panose1 w:val="020F0502020204030204"/>
    <w:charset w:val="00"/>
    <w:family w:val="swiss"/>
    <w:pitch w:val="variable"/>
    <w:sig w:usb0="E10002FF" w:usb1="4000ACFF" w:usb2="00000009" w:usb3="00000000" w:csb0="0000019F" w:csb1="00000000"/>
    <w:embedRegular r:id="rId4" w:fontKey="{0E3E25AC-BBFC-4BD0-A9B9-DC82FC9C88EF}"/>
    <w:embedBold r:id="rId5" w:fontKey="{03F6616A-E13A-47EF-BDAF-BC284647DEE4}"/>
  </w:font>
  <w:font w:name="Tahoma">
    <w:panose1 w:val="020B0604030504040204"/>
    <w:charset w:val="00"/>
    <w:family w:val="swiss"/>
    <w:pitch w:val="variable"/>
    <w:sig w:usb0="21002A87" w:usb1="80000000" w:usb2="00000008" w:usb3="00000000" w:csb0="000101FF" w:csb1="00000000"/>
    <w:embedRegular r:id="rId6" w:fontKey="{8046F56B-17FB-4477-9A85-FABF7A181C1B}"/>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7" w:fontKey="{C9C757CC-039A-48B1-A6BF-357A941858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B2E" w:rsidRDefault="004B5053">
    <w:pPr>
      <w:pStyle w:val="Footer"/>
      <w:tabs>
        <w:tab w:val="clear" w:pos="4680"/>
        <w:tab w:val="clear" w:pos="9360"/>
        <w:tab w:val="center" w:pos="2995"/>
      </w:tabs>
      <w:spacing w:before="120"/>
    </w:pPr>
    <w:r>
      <w:t>[127]</w:t>
    </w:r>
    <w:r>
      <w:tab/>
    </w:r>
    <w:r w:rsidR="00C83AB0">
      <w:fldChar w:fldCharType="begin"/>
    </w:r>
    <w:r w:rsidR="00C83AB0">
      <w:instrText xml:space="preserve"> PAGE  \* MERGEFORMAT </w:instrText>
    </w:r>
    <w:r w:rsidR="00C83AB0">
      <w:fldChar w:fldCharType="separate"/>
    </w:r>
    <w:r w:rsidR="00C83AB0">
      <w:rPr>
        <w:noProof/>
      </w:rPr>
      <w:t>1</w:t>
    </w:r>
    <w:r w:rsidR="00C83A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B2E" w:rsidRDefault="004B5053">
      <w:r>
        <w:separator/>
      </w:r>
    </w:p>
  </w:footnote>
  <w:footnote w:type="continuationSeparator" w:id="0">
    <w:p w:rsidR="00514B2E" w:rsidRDefault="004B5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514B2E"/>
    <w:rsid w:val="00303111"/>
    <w:rsid w:val="004B5053"/>
    <w:rsid w:val="00514B2E"/>
    <w:rsid w:val="006C6FEB"/>
    <w:rsid w:val="0088117F"/>
    <w:rsid w:val="00B57CB3"/>
    <w:rsid w:val="00C83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A54B6C4-50B9-4F2C-A41F-BCE0946F6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4B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514B2E"/>
    <w:rPr>
      <w:szCs w:val="21"/>
    </w:rPr>
  </w:style>
  <w:style w:type="character" w:customStyle="1" w:styleId="PlainTextChar">
    <w:name w:val="Plain Text Char"/>
    <w:basedOn w:val="DefaultParagraphFont"/>
    <w:link w:val="PlainText"/>
    <w:uiPriority w:val="99"/>
    <w:rsid w:val="00514B2E"/>
    <w:rPr>
      <w:szCs w:val="21"/>
    </w:rPr>
  </w:style>
  <w:style w:type="paragraph" w:styleId="BodyText">
    <w:name w:val="Body Text"/>
    <w:basedOn w:val="Normal"/>
    <w:link w:val="BodyTextChar"/>
    <w:uiPriority w:val="99"/>
    <w:locked/>
    <w:rsid w:val="00514B2E"/>
  </w:style>
  <w:style w:type="character" w:customStyle="1" w:styleId="BodyTextChar">
    <w:name w:val="Body Text Char"/>
    <w:basedOn w:val="DefaultParagraphFont"/>
    <w:link w:val="BodyText"/>
    <w:uiPriority w:val="99"/>
    <w:rsid w:val="00514B2E"/>
  </w:style>
  <w:style w:type="paragraph" w:styleId="BalloonText">
    <w:name w:val="Balloon Text"/>
    <w:next w:val="Normal"/>
    <w:link w:val="BalloonTextChar"/>
    <w:uiPriority w:val="99"/>
    <w:unhideWhenUsed/>
    <w:rsid w:val="00514B2E"/>
    <w:rPr>
      <w:rFonts w:cs="Tahoma"/>
      <w:szCs w:val="16"/>
    </w:rPr>
  </w:style>
  <w:style w:type="character" w:customStyle="1" w:styleId="BalloonTextChar">
    <w:name w:val="Balloon Text Char"/>
    <w:basedOn w:val="DefaultParagraphFont"/>
    <w:link w:val="BalloonText"/>
    <w:uiPriority w:val="99"/>
    <w:rsid w:val="00514B2E"/>
    <w:rPr>
      <w:rFonts w:cs="Tahoma"/>
      <w:szCs w:val="16"/>
    </w:rPr>
  </w:style>
  <w:style w:type="paragraph" w:styleId="NormalWeb">
    <w:name w:val="Normal (Web)"/>
    <w:basedOn w:val="Normal"/>
    <w:next w:val="Normal"/>
    <w:semiHidden/>
    <w:locked/>
    <w:rsid w:val="00514B2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514B2E"/>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514B2E"/>
    <w:rPr>
      <w:rFonts w:eastAsia="Times New Roman" w:cs="Times New Roman"/>
      <w:szCs w:val="20"/>
    </w:rPr>
  </w:style>
  <w:style w:type="paragraph" w:styleId="Header">
    <w:name w:val="header"/>
    <w:basedOn w:val="Normal"/>
    <w:link w:val="HeaderChar"/>
    <w:uiPriority w:val="99"/>
    <w:semiHidden/>
    <w:unhideWhenUsed/>
    <w:locked/>
    <w:rsid w:val="00514B2E"/>
    <w:pPr>
      <w:tabs>
        <w:tab w:val="center" w:pos="4680"/>
        <w:tab w:val="right" w:pos="9360"/>
      </w:tabs>
    </w:pPr>
  </w:style>
  <w:style w:type="character" w:customStyle="1" w:styleId="HeaderChar">
    <w:name w:val="Header Char"/>
    <w:basedOn w:val="DefaultParagraphFont"/>
    <w:link w:val="Header"/>
    <w:uiPriority w:val="99"/>
    <w:semiHidden/>
    <w:rsid w:val="00514B2E"/>
  </w:style>
  <w:style w:type="character" w:styleId="LineNumber">
    <w:name w:val="line number"/>
    <w:basedOn w:val="DefaultParagraphFont"/>
    <w:uiPriority w:val="99"/>
    <w:semiHidden/>
    <w:unhideWhenUsed/>
    <w:locked/>
    <w:rsid w:val="00514B2E"/>
  </w:style>
  <w:style w:type="character" w:styleId="Hyperlink">
    <w:name w:val="Hyperlink"/>
    <w:basedOn w:val="DefaultParagraphFont"/>
    <w:uiPriority w:val="99"/>
    <w:unhideWhenUsed/>
    <w:locked/>
    <w:rsid w:val="00514B2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27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757</Words>
  <Characters>4019</Characters>
  <Application>Microsoft Office Word</Application>
  <DocSecurity>0</DocSecurity>
  <Lines>128</Lines>
  <Paragraphs>36</Paragraphs>
  <ScaleCrop>false</ScaleCrop>
  <Company>Project Management</Company>
  <LinksUpToDate>false</LinksUpToDate>
  <CharactersWithSpaces>4761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127: County officials - South Carolina Legislature Online</dc:title>
  <dc:subject/>
  <dc:creator>NSC</dc:creator>
  <cp:keywords/>
  <dc:description/>
  <cp:lastModifiedBy>N Cumfer</cp:lastModifiedBy>
  <cp:revision>12</cp:revision>
  <dcterms:created xsi:type="dcterms:W3CDTF">2008-12-10T20:33:00Z</dcterms:created>
  <dcterms:modified xsi:type="dcterms:W3CDTF">2014-11-24T14:54:00Z</dcterms:modified>
</cp:coreProperties>
</file>