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3F4587" w:rsidRDefault="003F4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 R57, S155</w:t>
      </w:r>
    </w:p>
    <w:p w:rsidR="003F4587" w:rsidRDefault="003F4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3F4587" w:rsidRDefault="003F4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Campsen, Rose, Hayes and Lourie</w:t>
      </w: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l:\s-res\gec\028mili.mrh.gec.docx</w:t>
      </w: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3171</w:t>
      </w:r>
    </w:p>
    <w:p w:rsidR="003F4587" w:rsidRDefault="003F4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12, 2009</w:t>
      </w: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2009</w:t>
      </w: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3F4587" w:rsidRDefault="003F4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Military Protection Equal Protection Act</w:t>
      </w:r>
    </w:p>
    <w:p w:rsidR="003F4587" w:rsidRDefault="003F4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587" w:rsidRDefault="003F4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587" w:rsidRDefault="0046718A">
      <w:pPr>
        <w:widowControl w:val="0"/>
        <w:tabs>
          <w:tab w:val="center" w:pos="590"/>
          <w:tab w:val="center" w:pos="1440"/>
          <w:tab w:val="left" w:pos="1872"/>
          <w:tab w:val="left" w:pos="9187"/>
        </w:tabs>
        <w:rPr>
          <w:rFonts w:cs="Times New Roman"/>
        </w:rPr>
      </w:pPr>
      <w:r>
        <w:rPr>
          <w:rFonts w:cs="Times New Roman"/>
          <w:b/>
        </w:rPr>
        <w:t>HISTORY OF LEGISLATIVE ACTIONS</w:t>
      </w:r>
    </w:p>
    <w:p w:rsidR="003F4587" w:rsidRDefault="003F4587">
      <w:pPr>
        <w:widowControl w:val="0"/>
        <w:tabs>
          <w:tab w:val="center" w:pos="590"/>
          <w:tab w:val="center" w:pos="1440"/>
          <w:tab w:val="left" w:pos="1872"/>
          <w:tab w:val="left" w:pos="9187"/>
        </w:tabs>
        <w:rPr>
          <w:rFonts w:cs="Times New Roman"/>
        </w:rPr>
      </w:pPr>
    </w:p>
    <w:p w:rsidR="003F4587" w:rsidRDefault="0046718A">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t>Prefiled</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t xml:space="preserve">Referred to Committee on </w:t>
      </w:r>
      <w:r>
        <w:rPr>
          <w:rFonts w:cs="Times New Roman"/>
          <w:b/>
        </w:rPr>
        <w:t>Judiciary</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Introduced and read first time </w:t>
      </w:r>
      <w:hyperlink r:id="rId6" w:history="1">
        <w:r w:rsidRPr="002C3C29">
          <w:rPr>
            <w:rStyle w:val="Hyperlink"/>
            <w:rFonts w:cs="Times New Roman"/>
          </w:rPr>
          <w:t>SJ</w:t>
        </w:r>
      </w:hyperlink>
      <w:r>
        <w:rPr>
          <w:rFonts w:cs="Times New Roman"/>
        </w:rPr>
        <w:noBreakHyphen/>
        <w:t>145</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2C3C29">
          <w:rPr>
            <w:rStyle w:val="Hyperlink"/>
            <w:rFonts w:cs="Times New Roman"/>
          </w:rPr>
          <w:t>SJ</w:t>
        </w:r>
      </w:hyperlink>
      <w:r>
        <w:rPr>
          <w:rFonts w:cs="Times New Roman"/>
        </w:rPr>
        <w:noBreakHyphen/>
        <w:t>145</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1/23/2009</w:t>
      </w:r>
      <w:r>
        <w:rPr>
          <w:rFonts w:cs="Times New Roman"/>
        </w:rPr>
        <w:tab/>
        <w:t>Senate</w:t>
      </w:r>
      <w:r>
        <w:rPr>
          <w:rFonts w:cs="Times New Roman"/>
        </w:rPr>
        <w:tab/>
        <w:t>Referred to Subcommittee: Sheheen (ch), Knotts, Campsen, Lourie, Campbell</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8" w:history="1">
        <w:r w:rsidRPr="002C3C29">
          <w:rPr>
            <w:rStyle w:val="Hyperlink"/>
            <w:rFonts w:cs="Times New Roman"/>
          </w:rPr>
          <w:t>SJ</w:t>
        </w:r>
      </w:hyperlink>
      <w:r>
        <w:rPr>
          <w:rFonts w:cs="Times New Roman"/>
        </w:rPr>
        <w:noBreakHyphen/>
        <w:t>3</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t xml:space="preserve">Committee Amendment Adopted </w:t>
      </w:r>
      <w:hyperlink r:id="rId9" w:history="1">
        <w:r w:rsidRPr="002C3C29">
          <w:rPr>
            <w:rStyle w:val="Hyperlink"/>
            <w:rFonts w:cs="Times New Roman"/>
          </w:rPr>
          <w:t>SJ</w:t>
        </w:r>
      </w:hyperlink>
      <w:r>
        <w:rPr>
          <w:rFonts w:cs="Times New Roman"/>
        </w:rPr>
        <w:noBreakHyphen/>
        <w:t>12</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t xml:space="preserve">Read second time </w:t>
      </w:r>
      <w:hyperlink r:id="rId10" w:history="1">
        <w:r w:rsidRPr="002C3C29">
          <w:rPr>
            <w:rStyle w:val="Hyperlink"/>
            <w:rFonts w:cs="Times New Roman"/>
          </w:rPr>
          <w:t>SJ</w:t>
        </w:r>
      </w:hyperlink>
      <w:r>
        <w:rPr>
          <w:rFonts w:cs="Times New Roman"/>
        </w:rPr>
        <w:noBreakHyphen/>
        <w:t>12</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r>
      <w:r>
        <w:rPr>
          <w:rFonts w:cs="Times New Roman"/>
        </w:rPr>
        <w:tab/>
        <w:t>Scrivener's error corrected</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t xml:space="preserve">Read third time and sent to House </w:t>
      </w:r>
      <w:hyperlink r:id="rId11" w:history="1">
        <w:r w:rsidRPr="002C3C29">
          <w:rPr>
            <w:rStyle w:val="Hyperlink"/>
            <w:rFonts w:cs="Times New Roman"/>
          </w:rPr>
          <w:t>SJ</w:t>
        </w:r>
      </w:hyperlink>
      <w:r>
        <w:rPr>
          <w:rFonts w:cs="Times New Roman"/>
        </w:rPr>
        <w:noBreakHyphen/>
        <w:t>31</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Introduced and read first time </w:t>
      </w:r>
      <w:hyperlink r:id="rId12" w:history="1">
        <w:r w:rsidRPr="002C3C29">
          <w:rPr>
            <w:rStyle w:val="Hyperlink"/>
            <w:rFonts w:cs="Times New Roman"/>
          </w:rPr>
          <w:t>HJ</w:t>
        </w:r>
      </w:hyperlink>
      <w:r>
        <w:rPr>
          <w:rFonts w:cs="Times New Roman"/>
        </w:rPr>
        <w:noBreakHyphen/>
        <w:t>18</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13" w:history="1">
        <w:r w:rsidRPr="002C3C29">
          <w:rPr>
            <w:rStyle w:val="Hyperlink"/>
            <w:rFonts w:cs="Times New Roman"/>
          </w:rPr>
          <w:t>HJ</w:t>
        </w:r>
      </w:hyperlink>
      <w:r>
        <w:rPr>
          <w:rFonts w:cs="Times New Roman"/>
        </w:rPr>
        <w:noBreakHyphen/>
        <w:t>18</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Recalled from Committee on </w:t>
      </w:r>
      <w:r>
        <w:rPr>
          <w:rFonts w:cs="Times New Roman"/>
          <w:b/>
        </w:rPr>
        <w:t>Judiciary</w:t>
      </w:r>
      <w:r>
        <w:rPr>
          <w:rFonts w:cs="Times New Roman"/>
        </w:rPr>
        <w:t xml:space="preserve"> </w:t>
      </w:r>
      <w:hyperlink r:id="rId14" w:history="1">
        <w:r w:rsidRPr="002C3C29">
          <w:rPr>
            <w:rStyle w:val="Hyperlink"/>
            <w:rFonts w:cs="Times New Roman"/>
          </w:rPr>
          <w:t>HJ</w:t>
        </w:r>
      </w:hyperlink>
      <w:r>
        <w:rPr>
          <w:rFonts w:cs="Times New Roman"/>
        </w:rPr>
        <w:noBreakHyphen/>
        <w:t>35</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Read second time </w:t>
      </w:r>
      <w:hyperlink r:id="rId15" w:history="1">
        <w:r w:rsidRPr="002C3C29">
          <w:rPr>
            <w:rStyle w:val="Hyperlink"/>
            <w:rFonts w:cs="Times New Roman"/>
          </w:rPr>
          <w:t>HJ</w:t>
        </w:r>
      </w:hyperlink>
      <w:r>
        <w:rPr>
          <w:rFonts w:cs="Times New Roman"/>
        </w:rPr>
        <w:noBreakHyphen/>
        <w:t>29</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Read third time and enrolled </w:t>
      </w:r>
      <w:hyperlink r:id="rId16" w:history="1">
        <w:r w:rsidRPr="002C3C29">
          <w:rPr>
            <w:rStyle w:val="Hyperlink"/>
            <w:rFonts w:cs="Times New Roman"/>
          </w:rPr>
          <w:t>HJ</w:t>
        </w:r>
      </w:hyperlink>
      <w:r>
        <w:rPr>
          <w:rFonts w:cs="Times New Roman"/>
        </w:rPr>
        <w:noBreakHyphen/>
        <w:t>14</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57</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3F4587" w:rsidRDefault="0046718A">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25</w:t>
      </w:r>
    </w:p>
    <w:p w:rsidR="003F4587" w:rsidRDefault="003F4587">
      <w:pPr>
        <w:widowControl w:val="0"/>
        <w:tabs>
          <w:tab w:val="right" w:pos="1008"/>
          <w:tab w:val="left" w:pos="1152"/>
          <w:tab w:val="left" w:pos="1872"/>
          <w:tab w:val="left" w:pos="9187"/>
        </w:tabs>
        <w:ind w:left="2088" w:hanging="2088"/>
        <w:rPr>
          <w:rFonts w:cs="Times New Roman"/>
        </w:rPr>
      </w:pPr>
    </w:p>
    <w:p w:rsidR="003F4587" w:rsidRDefault="003F4587">
      <w:pPr>
        <w:widowControl w:val="0"/>
        <w:tabs>
          <w:tab w:val="right" w:pos="1008"/>
          <w:tab w:val="left" w:pos="1152"/>
          <w:tab w:val="left" w:pos="1872"/>
          <w:tab w:val="left" w:pos="9187"/>
        </w:tabs>
        <w:ind w:left="2088" w:hanging="2088"/>
        <w:rPr>
          <w:rFonts w:cs="Times New Roman"/>
        </w:rPr>
      </w:pPr>
    </w:p>
    <w:p w:rsidR="003F4587" w:rsidRDefault="0046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3F4587" w:rsidRDefault="003F45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4587" w:rsidRDefault="005F1B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46718A">
          <w:rPr>
            <w:rFonts w:cs="Times New Roman"/>
            <w:color w:val="0000FF" w:themeColor="hyperlink"/>
            <w:u w:val="single"/>
          </w:rPr>
          <w:t>12/10/2008</w:t>
        </w:r>
      </w:hyperlink>
    </w:p>
    <w:p w:rsidR="003F4587" w:rsidRDefault="005F1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8" w:history="1">
        <w:r w:rsidR="0046718A">
          <w:rPr>
            <w:color w:val="0000FF" w:themeColor="hyperlink"/>
            <w:u w:val="single"/>
          </w:rPr>
          <w:t>2/4/2009</w:t>
        </w:r>
      </w:hyperlink>
    </w:p>
    <w:p w:rsidR="003F4587" w:rsidRDefault="005F1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46718A">
          <w:rPr>
            <w:color w:val="0000FF" w:themeColor="hyperlink"/>
            <w:u w:val="single"/>
          </w:rPr>
          <w:t>2/10/2009</w:t>
        </w:r>
      </w:hyperlink>
    </w:p>
    <w:p w:rsidR="003F4587" w:rsidRDefault="005F1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46718A">
          <w:rPr>
            <w:color w:val="0000FF" w:themeColor="hyperlink"/>
            <w:u w:val="single"/>
          </w:rPr>
          <w:t>2/11/2009</w:t>
        </w:r>
      </w:hyperlink>
    </w:p>
    <w:p w:rsidR="003F4587" w:rsidRDefault="005F1B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46718A">
          <w:rPr>
            <w:color w:val="0000FF" w:themeColor="hyperlink"/>
            <w:u w:val="single"/>
          </w:rPr>
          <w:t>5/19/2009</w:t>
        </w:r>
      </w:hyperlink>
    </w:p>
    <w:p w:rsidR="003F4587" w:rsidRDefault="003F4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587" w:rsidRDefault="003F4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4587">
          <w:pgSz w:w="12240" w:h="15840" w:code="1"/>
          <w:pgMar w:top="1080" w:right="1440" w:bottom="1080" w:left="1440" w:header="720" w:footer="720" w:gutter="0"/>
          <w:pgNumType w:start="1"/>
          <w:cols w:space="720"/>
          <w:noEndnote/>
          <w:docGrid w:linePitch="360"/>
        </w:sect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 R57, S155)</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ARTICLE 7 TO CHAPTER 5, TITLE 63 SO AS TO ENACT THE “MILITARY PARENT EQUAL PROTECTION ACT”, TO PROVIDE THAT A MILITARY PARENT’S MILITARY SERVICE SHALL NOT BE CONSIDERED A CHANGE IN CIRCUMSTANCE FOR PURPOSES OF CHILD CUSTODY AND VISITATION, TO PROVIDE THAT THE CUSTODIAL NONMILITARY PARENT MUST REASONABLY ACCOMMODATE THE MILITARY PARENT’S LEAVE SCHEDULE, TO PROVIDE THAT THE FAMILY COURT MAY HOLD AN EXPEDITED TEMPORARY HEARING TO ENSURE THAT THE MILITARY PARENT HAS ACCESS TO A MINOR CHILD, AND TO PROVIDE THAT AN INCREASE OR DECREASE IN EARNING CAPACITY DUE TO MILITARY SERVICE IS NOT CONSIDERED A PERMANENT CHANGE; AND BY ADDING SECTION 15</w:t>
      </w:r>
      <w:r>
        <w:rPr>
          <w:rFonts w:cs="Times New Roman"/>
          <w:b/>
        </w:rPr>
        <w:noBreakHyphen/>
        <w:t>1</w:t>
      </w:r>
      <w:r>
        <w:rPr>
          <w:rFonts w:cs="Times New Roman"/>
          <w:b/>
        </w:rPr>
        <w:noBreakHyphen/>
        <w:t>340 SO AS TO PROVIDE THAT A SERVICE MEMBER ENTITLED TO A STAY PURSUANT TO THE SERVICE MEMBERS CIVIL RELIEF ACT MAY SEEK RELIEF AND PROVIDE TESTIMONY BY ELECTRONIC MEANS UNDER CERTAIN CONDITIONS.</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Military Parent Equal Protection Act</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5, Title 63 of the 1976 Code is amended by adding:</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7</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Military Parent Equal Protection Act</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63</w:t>
      </w:r>
      <w:r>
        <w:rPr>
          <w:rFonts w:cs="Times New Roman"/>
        </w:rPr>
        <w:noBreakHyphen/>
        <w:t>5</w:t>
      </w:r>
      <w:r>
        <w:rPr>
          <w:rFonts w:cs="Times New Roman"/>
        </w:rPr>
        <w:noBreakHyphen/>
        <w:t>900.</w:t>
      </w:r>
      <w:r>
        <w:rPr>
          <w:rFonts w:cs="Times New Roman"/>
        </w:rPr>
        <w:tab/>
      </w:r>
      <w:r>
        <w:rPr>
          <w:rFonts w:cs="Times New Roman"/>
        </w:rPr>
        <w:tab/>
        <w:t>This article may be cited as the ‘Military Parent Equal Protection Act’.</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63</w:t>
      </w:r>
      <w:r>
        <w:rPr>
          <w:rFonts w:cs="Times New Roman"/>
        </w:rPr>
        <w:noBreakHyphen/>
        <w:t>5</w:t>
      </w:r>
      <w:r>
        <w:rPr>
          <w:rFonts w:cs="Times New Roman"/>
        </w:rPr>
        <w:noBreakHyphen/>
        <w:t>910.</w:t>
      </w:r>
      <w:r>
        <w:rPr>
          <w:rFonts w:cs="Times New Roman"/>
        </w:rPr>
        <w:tab/>
        <w:t>For purposes of this article:</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(A)(1)</w:t>
      </w:r>
      <w:r>
        <w:rPr>
          <w:rFonts w:cs="Times New Roman"/>
        </w:rPr>
        <w:tab/>
        <w:t xml:space="preserve">In the case of a parent who is a member of the Army, Navy, Air Force, Marine Corps, Coast Guard, or a Reserve component of these services, ‘military service or service’ means a deployment for combat operations, a contingency operation, or a natural disaster based </w:t>
      </w:r>
      <w:r>
        <w:rPr>
          <w:rFonts w:cs="Times New Roman"/>
        </w:rPr>
        <w:lastRenderedPageBreak/>
        <w:t>on orders that do not permit a family member to accompany the member on the deployment.</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In the case of a parent who is a member of the National Guard, ‘military service or service’ means service under a call to active service authorized by the President of the United States or the Secretary of Defense for a period of more than thirty consecutive days pursuant to 32 U.S.C. 502(f) for purposes of responding to a national emergency declared by the President and supported by federal funds.</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‘Military service or service’ includes a period during which a military parent remains subject to deployment orders and remains deployed on account of sickness, wounds, leave, or other lawful cause.</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‘Military parent’ means a natural parent or adoptive parent of a child under the age of eighteen whose parental rights have not been terminated by a court of competent jurisdiction.</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63</w:t>
      </w:r>
      <w:r>
        <w:rPr>
          <w:rFonts w:cs="Times New Roman"/>
        </w:rPr>
        <w:noBreakHyphen/>
        <w:t>5</w:t>
      </w:r>
      <w:r>
        <w:rPr>
          <w:rFonts w:cs="Times New Roman"/>
        </w:rPr>
        <w:noBreakHyphen/>
        <w:t>920.</w:t>
      </w:r>
      <w:r>
        <w:rPr>
          <w:rFonts w:cs="Times New Roman"/>
        </w:rPr>
        <w:tab/>
      </w:r>
      <w:r>
        <w:rPr>
          <w:rFonts w:cs="Times New Roman"/>
        </w:rPr>
        <w:tab/>
        <w:t>(A)</w:t>
      </w:r>
      <w:r>
        <w:rPr>
          <w:rFonts w:cs="Times New Roman"/>
        </w:rPr>
        <w:tab/>
        <w:t>If a military parent is required to be separated from a child due to military service, a court shall not enter a final order modifying the terms establishing custody or visitation contained in an existing order until ninety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An existing order establishing the terms of custody or visitation in place at the time a military parent is called to military service may be temporarily modified to make reasonable accommodation for the parties because of the military parent’s service.  A temporary modification automatically terminates when the military parent is released from service and, upon release, the original terms of the custody or visitation order in place at the time the military parent was called to military service are automatically reinstated.</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A temporary modification order issued pursuant to this section must provide that the military parent has custody of the child or reasonable visitation, whichever is applicable pursuant to the original order, with the child during a period of leave granted to the military parent during their military service.  If a temporary modification order is not issued pursuant to this section, the nonmilitary custodial parent shall make the child or children reasonably available to the military parent when the military parent has leave to ensure that the military parent has reasonable visitation and is able to visit the child or children.</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If there is no existing order establishing the terms of custody or visitation and it appears that military service is imminent, upon motion by either parent, the court shall expedite a temporary hearing to establish temporary custody or visitation to ensure the military parent has access to the child, to establish support, and provide other appropriate relief.</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63</w:t>
      </w:r>
      <w:r>
        <w:rPr>
          <w:rFonts w:cs="Times New Roman"/>
        </w:rPr>
        <w:noBreakHyphen/>
        <w:t>5</w:t>
      </w:r>
      <w:r>
        <w:rPr>
          <w:rFonts w:cs="Times New Roman"/>
        </w:rPr>
        <w:noBreakHyphen/>
        <w:t>930.</w:t>
      </w:r>
      <w:r>
        <w:rPr>
          <w:rFonts w:cs="Times New Roman"/>
        </w:rPr>
        <w:tab/>
      </w:r>
      <w:r>
        <w:rPr>
          <w:rFonts w:cs="Times New Roman"/>
        </w:rPr>
        <w:tab/>
        <w:t>(A)</w:t>
      </w:r>
      <w:r>
        <w:rPr>
          <w:rFonts w:cs="Times New Roman"/>
        </w:rPr>
        <w:tab/>
        <w:t>If a military parent is called to military service, either parent may file a notice of activation of military service and petition to modify a support order.  In the petition, the parent must cite the basis for modifying the support order and the military parent’s change in financial circumstances supporting the petition.</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court shall temporarily modify the amount of child support for the duration of the military parent’s military service based on changes in income and earning capacity of the military parent during military service.  An increase or decrease in income or earning capacity of a military parent due to military service only may be used to calculate support during the period of military service and must not be considered a permanent increase in wages or earning capacity.  The effective date for a temporary modification must be the date the military parent begins military service.</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Upon return from military service, the military parent’s child support obligation prior to a temporary modification is automatically reinstated, effective on the date the military parent is released from service.  Within ninety days of the military parent’s release from service, either parent may make a subsequent request for modification to correspond to a change in the military parent’s nonservice-related income or earning capacity.  A modification must be based upon the income or earning capacity of the military parent following the period of military service.</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Except for modifying a child support obligation during military service pursuant to this section, a military parent’s income during military service must not be used to determine the military parent’s income or earning capacity.</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63</w:t>
      </w:r>
      <w:r>
        <w:rPr>
          <w:rFonts w:cs="Times New Roman"/>
        </w:rPr>
        <w:noBreakHyphen/>
        <w:t>5</w:t>
      </w:r>
      <w:r>
        <w:rPr>
          <w:rFonts w:cs="Times New Roman"/>
        </w:rPr>
        <w:noBreakHyphen/>
        <w:t>940.</w:t>
      </w:r>
      <w:r>
        <w:rPr>
          <w:rFonts w:cs="Times New Roman"/>
        </w:rPr>
        <w:tab/>
      </w:r>
      <w:r>
        <w:rPr>
          <w:rFonts w:cs="Times New Roman"/>
        </w:rPr>
        <w:tab/>
        <w:t>(A)</w:t>
      </w:r>
      <w:r>
        <w:rPr>
          <w:rFonts w:cs="Times New Roman"/>
        </w:rPr>
        <w:tab/>
        <w:t>Military necessity may preclude court adjudication before mobilization, and the parties are encouraged to negotiate mutually agreeable arrangements prior to mobilization.</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nonmilitary parent and the military parent shall cooperate with each other in an effort to reach a mutually agreeable resolution of custody, visitation, and child support.  Each party shall provide information to each other in an effort to facilitate agreement on custody, visitation, and child support.</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A provision of custody, visitation, or child support agreed to by the parties pursuant to this section must not be deemed a substantial change of circumstances in an action for custody, visitation, or child support, which occurs subsequent to termination of the military parent’s military service.  A negotiation of the parties concerning custody, visitation, and child support related to the military service conducted pursuant to this section are deemed settlement negotiations and are not admissible in custody, visitation, and child support actions between the parties after termination of the military parent’s military service.</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63</w:t>
      </w:r>
      <w:r>
        <w:rPr>
          <w:rFonts w:cs="Times New Roman"/>
        </w:rPr>
        <w:noBreakHyphen/>
        <w:t>5</w:t>
      </w:r>
      <w:r>
        <w:rPr>
          <w:rFonts w:cs="Times New Roman"/>
        </w:rPr>
        <w:noBreakHyphen/>
        <w:t>950.</w:t>
      </w:r>
      <w:r>
        <w:rPr>
          <w:rFonts w:cs="Times New Roman"/>
        </w:rPr>
        <w:tab/>
      </w:r>
      <w:r>
        <w:rPr>
          <w:rFonts w:cs="Times New Roman"/>
        </w:rPr>
        <w:tab/>
        <w:t>In making determinations pursuant to this article, the court may award attorney’s fees and costs based on the court’s consideration of:</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w:t>
      </w:r>
      <w:r>
        <w:rPr>
          <w:rFonts w:cs="Times New Roman"/>
        </w:rPr>
        <w:tab/>
        <w:t>the failure of either party to reasonably accommodate the other party in custody, visitation, and support matters related to a military parent’s service;</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t>unreasonable delay caused by either party in resolving custody, visitation, and support matters related to a military parent’s service;</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(3)</w:t>
      </w:r>
      <w:r>
        <w:rPr>
          <w:rFonts w:cs="Times New Roman"/>
        </w:rPr>
        <w:tab/>
        <w:t>failure of either party to timely provide income and earnings information to the other party; and</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w:t>
      </w:r>
      <w:r>
        <w:rPr>
          <w:rFonts w:cs="Times New Roman"/>
        </w:rPr>
        <w:tab/>
        <w:t>other factors as the court may consider appropriate and as may be required by law.”</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Service member</w:t>
      </w:r>
      <w:r>
        <w:rPr>
          <w:rFonts w:cs="Times New Roman"/>
        </w:rPr>
        <w:t>’</w:t>
      </w:r>
      <w:r>
        <w:rPr>
          <w:rFonts w:cs="Times New Roman"/>
          <w:b/>
        </w:rPr>
        <w:t>s right to proceed</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Chapter 1, Title 15 of the 1976 Code is amended by adding:</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15</w:t>
      </w:r>
      <w:r>
        <w:rPr>
          <w:rFonts w:cs="Times New Roman"/>
        </w:rPr>
        <w:noBreakHyphen/>
        <w:t>1</w:t>
      </w:r>
      <w:r>
        <w:rPr>
          <w:rFonts w:cs="Times New Roman"/>
        </w:rPr>
        <w:noBreakHyphen/>
        <w:t>340.</w:t>
      </w:r>
      <w:r>
        <w:rPr>
          <w:rFonts w:cs="Times New Roman"/>
        </w:rPr>
        <w:tab/>
      </w:r>
      <w:r>
        <w:rPr>
          <w:rFonts w:cs="Times New Roman"/>
        </w:rPr>
        <w:tab/>
        <w:t>(A)</w:t>
      </w:r>
      <w:r>
        <w:rPr>
          <w:rFonts w:cs="Times New Roman"/>
        </w:rPr>
        <w:tab/>
        <w:t>A service member who is entitled to a stay in civil proceedings pursuant to the Service Members Civil Relief Act, 50 U.S.C. App. Section 501, et seq. may elect to proceed while the service member is reasonably unavailable to appear in the geographical location in which the litigation is pursued and may seek relief and provide evidence through video</w:t>
      </w:r>
      <w:r>
        <w:rPr>
          <w:rFonts w:cs="Times New Roman"/>
        </w:rPr>
        <w:noBreakHyphen/>
        <w:t>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court must allow a party to proceed pursuant to this section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w:t>
      </w:r>
      <w:r>
        <w:rPr>
          <w:rFonts w:cs="Times New Roman"/>
        </w:rPr>
        <w:tab/>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A181C" w:rsidRDefault="008A181C"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upon approval by the Governor.</w:t>
      </w:r>
    </w:p>
    <w:p w:rsidR="008A181C" w:rsidRDefault="008A181C" w:rsidP="008A181C">
      <w:pPr>
        <w:tabs>
          <w:tab w:val="left" w:pos="1440"/>
          <w:tab w:val="left" w:pos="1800"/>
          <w:tab w:val="left" w:pos="2880"/>
        </w:tabs>
        <w:rPr>
          <w:color w:val="000000" w:themeColor="text1"/>
        </w:rPr>
      </w:pPr>
    </w:p>
    <w:p w:rsidR="008A181C" w:rsidRDefault="008A181C" w:rsidP="008A181C">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8A181C" w:rsidRDefault="008A181C" w:rsidP="008A181C">
      <w:pPr>
        <w:tabs>
          <w:tab w:val="left" w:pos="1440"/>
          <w:tab w:val="left" w:pos="1800"/>
          <w:tab w:val="left" w:pos="2880"/>
        </w:tabs>
        <w:rPr>
          <w:color w:val="000000" w:themeColor="text1"/>
        </w:rPr>
      </w:pPr>
    </w:p>
    <w:p w:rsidR="008A181C" w:rsidRDefault="008A181C" w:rsidP="008A181C">
      <w:pPr>
        <w:tabs>
          <w:tab w:val="left" w:pos="1440"/>
          <w:tab w:val="left" w:pos="1800"/>
          <w:tab w:val="left" w:pos="2880"/>
        </w:tabs>
        <w:rPr>
          <w:color w:val="000000" w:themeColor="text1"/>
        </w:rPr>
      </w:pPr>
      <w:r>
        <w:rPr>
          <w:color w:val="000000" w:themeColor="text1"/>
        </w:rPr>
        <w:t>Approved the 2</w:t>
      </w:r>
      <w:r w:rsidRPr="00ED2F91">
        <w:rPr>
          <w:color w:val="000000" w:themeColor="text1"/>
          <w:vertAlign w:val="superscript"/>
        </w:rPr>
        <w:t>nd</w:t>
      </w:r>
      <w:r>
        <w:rPr>
          <w:color w:val="000000" w:themeColor="text1"/>
        </w:rPr>
        <w:t xml:space="preserve"> day of June, 2009. </w:t>
      </w:r>
    </w:p>
    <w:p w:rsidR="008A181C" w:rsidRDefault="008A181C" w:rsidP="008A181C">
      <w:pPr>
        <w:tabs>
          <w:tab w:val="left" w:pos="1440"/>
          <w:tab w:val="left" w:pos="1800"/>
          <w:tab w:val="left" w:pos="2880"/>
        </w:tabs>
        <w:jc w:val="center"/>
        <w:rPr>
          <w:color w:val="000000" w:themeColor="text1"/>
        </w:rPr>
      </w:pPr>
    </w:p>
    <w:p w:rsidR="008A181C" w:rsidRDefault="008A181C" w:rsidP="008A181C">
      <w:pPr>
        <w:tabs>
          <w:tab w:val="left" w:pos="1440"/>
          <w:tab w:val="left" w:pos="1800"/>
          <w:tab w:val="left" w:pos="2880"/>
        </w:tabs>
        <w:jc w:val="center"/>
        <w:rPr>
          <w:color w:val="000000" w:themeColor="text1"/>
        </w:rPr>
      </w:pPr>
      <w:r>
        <w:rPr>
          <w:color w:val="000000" w:themeColor="text1"/>
        </w:rPr>
        <w:t>__________</w:t>
      </w:r>
    </w:p>
    <w:p w:rsidR="003F4587" w:rsidRDefault="003F4587" w:rsidP="008A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F4587" w:rsidSect="00B975C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87" w:rsidRDefault="0046718A">
      <w:r>
        <w:separator/>
      </w:r>
    </w:p>
  </w:endnote>
  <w:endnote w:type="continuationSeparator" w:id="0">
    <w:p w:rsidR="003F4587" w:rsidRDefault="0046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C8" w:rsidRDefault="002D1D95">
    <w:pPr>
      <w:pStyle w:val="Footer"/>
      <w:tabs>
        <w:tab w:val="clear" w:pos="4680"/>
        <w:tab w:val="clear" w:pos="9360"/>
        <w:tab w:val="center" w:pos="3168"/>
      </w:tabs>
      <w:spacing w:before="120"/>
    </w:pPr>
    <w:r>
      <w:tab/>
    </w:r>
    <w:r w:rsidR="003536AD">
      <w:fldChar w:fldCharType="begin"/>
    </w:r>
    <w:r>
      <w:instrText xml:space="preserve"> PAGE  \* MERGEFORMAT </w:instrText>
    </w:r>
    <w:r w:rsidR="003536AD">
      <w:fldChar w:fldCharType="separate"/>
    </w:r>
    <w:r w:rsidR="008A181C">
      <w:rPr>
        <w:noProof/>
      </w:rPr>
      <w:t>5</w:t>
    </w:r>
    <w:r w:rsidR="003536A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5C8" w:rsidRDefault="005F1B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87" w:rsidRDefault="0046718A">
      <w:r>
        <w:separator/>
      </w:r>
    </w:p>
  </w:footnote>
  <w:footnote w:type="continuationSeparator" w:id="0">
    <w:p w:rsidR="003F4587" w:rsidRDefault="00467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55"/>
    <w:docVar w:name="ActSecretary" w:val="Sanders"/>
    <w:docVar w:name="ActSIdno" w:val="(337)  155ZW09"/>
    <w:docVar w:name="clipname" w:val="155ZW09"/>
    <w:docVar w:name="dvBillNumber" w:val="155"/>
    <w:docVar w:name="dvBillNumberPrefix" w:val="S"/>
    <w:docVar w:name="dvOriginalBody" w:val="Senate"/>
    <w:docVar w:name="OrigSENATEBillNo" w:val="155"/>
    <w:docVar w:name="SENATEACTFULLPATH" w:val="L:\COUNCIL\ACTS\155ZW09.DOCX"/>
    <w:docVar w:name="WhatActtype" w:val="AN ACT"/>
  </w:docVars>
  <w:rsids>
    <w:rsidRoot w:val="003F4587"/>
    <w:rsid w:val="001B3C25"/>
    <w:rsid w:val="00221C4F"/>
    <w:rsid w:val="002B265E"/>
    <w:rsid w:val="002C3C29"/>
    <w:rsid w:val="002D1D95"/>
    <w:rsid w:val="002F3F2C"/>
    <w:rsid w:val="00306540"/>
    <w:rsid w:val="003536AD"/>
    <w:rsid w:val="003B532B"/>
    <w:rsid w:val="003F4587"/>
    <w:rsid w:val="0046718A"/>
    <w:rsid w:val="00566DCE"/>
    <w:rsid w:val="005F1BDD"/>
    <w:rsid w:val="007040D6"/>
    <w:rsid w:val="008A181C"/>
    <w:rsid w:val="00C55D26"/>
    <w:rsid w:val="00CA733C"/>
    <w:rsid w:val="00CC5238"/>
    <w:rsid w:val="00D84FF2"/>
    <w:rsid w:val="00E14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65EAB4BD-BB1F-44E2-A9DE-6A72F0D6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587"/>
    <w:pPr>
      <w:spacing w:before="0"/>
    </w:pPr>
  </w:style>
  <w:style w:type="paragraph" w:styleId="Heading1">
    <w:name w:val="heading 1"/>
    <w:basedOn w:val="Normal"/>
    <w:next w:val="Normal"/>
    <w:link w:val="Heading1Char"/>
    <w:uiPriority w:val="9"/>
    <w:qFormat/>
    <w:rsid w:val="003F45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587"/>
    <w:pPr>
      <w:tabs>
        <w:tab w:val="center" w:pos="4680"/>
        <w:tab w:val="right" w:pos="9360"/>
      </w:tabs>
    </w:pPr>
  </w:style>
  <w:style w:type="character" w:customStyle="1" w:styleId="HeaderChar">
    <w:name w:val="Header Char"/>
    <w:basedOn w:val="DefaultParagraphFont"/>
    <w:link w:val="Header"/>
    <w:uiPriority w:val="99"/>
    <w:semiHidden/>
    <w:rsid w:val="003F4587"/>
  </w:style>
  <w:style w:type="paragraph" w:styleId="Footer">
    <w:name w:val="footer"/>
    <w:basedOn w:val="Normal"/>
    <w:link w:val="FooterChar"/>
    <w:uiPriority w:val="99"/>
    <w:semiHidden/>
    <w:unhideWhenUsed/>
    <w:rsid w:val="003F4587"/>
    <w:pPr>
      <w:tabs>
        <w:tab w:val="center" w:pos="4680"/>
        <w:tab w:val="right" w:pos="9360"/>
      </w:tabs>
    </w:pPr>
  </w:style>
  <w:style w:type="character" w:customStyle="1" w:styleId="FooterChar">
    <w:name w:val="Footer Char"/>
    <w:basedOn w:val="DefaultParagraphFont"/>
    <w:link w:val="Footer"/>
    <w:uiPriority w:val="99"/>
    <w:semiHidden/>
    <w:rsid w:val="003F4587"/>
  </w:style>
  <w:style w:type="paragraph" w:styleId="BalloonText">
    <w:name w:val="Balloon Text"/>
    <w:basedOn w:val="Normal"/>
    <w:link w:val="BalloonTextChar"/>
    <w:uiPriority w:val="99"/>
    <w:semiHidden/>
    <w:unhideWhenUsed/>
    <w:rsid w:val="003F4587"/>
    <w:rPr>
      <w:rFonts w:ascii="Tahoma" w:hAnsi="Tahoma" w:cs="Tahoma"/>
      <w:sz w:val="16"/>
      <w:szCs w:val="16"/>
    </w:rPr>
  </w:style>
  <w:style w:type="character" w:customStyle="1" w:styleId="BalloonTextChar">
    <w:name w:val="Balloon Text Char"/>
    <w:basedOn w:val="DefaultParagraphFont"/>
    <w:link w:val="BalloonText"/>
    <w:uiPriority w:val="99"/>
    <w:semiHidden/>
    <w:rsid w:val="003F4587"/>
    <w:rPr>
      <w:rFonts w:ascii="Tahoma" w:hAnsi="Tahoma" w:cs="Tahoma"/>
      <w:sz w:val="16"/>
      <w:szCs w:val="16"/>
    </w:rPr>
  </w:style>
  <w:style w:type="table" w:styleId="TableGrid">
    <w:name w:val="Table Grid"/>
    <w:basedOn w:val="TableNormal"/>
    <w:uiPriority w:val="59"/>
    <w:rsid w:val="003F458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F45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D1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04-09.docx" TargetMode="External"/><Relationship Id="rId13" Type="http://schemas.openxmlformats.org/officeDocument/2006/relationships/hyperlink" Target="file:///h:\HJ%20Archive\2009\02-12-09.docx" TargetMode="External"/><Relationship Id="rId18" Type="http://schemas.openxmlformats.org/officeDocument/2006/relationships/hyperlink" Target="file:///p:\pprever\2009-10\155_20090204.docx" TargetMode="External"/><Relationship Id="rId3" Type="http://schemas.openxmlformats.org/officeDocument/2006/relationships/webSettings" Target="webSettings.xml"/><Relationship Id="rId21" Type="http://schemas.openxmlformats.org/officeDocument/2006/relationships/hyperlink" Target="file:///p:\pprever\2009-10\155_20090519.docx" TargetMode="External"/><Relationship Id="rId7" Type="http://schemas.openxmlformats.org/officeDocument/2006/relationships/hyperlink" Target="file:///h:\SJ%20Archive\2009\01-13-09.docx" TargetMode="External"/><Relationship Id="rId12" Type="http://schemas.openxmlformats.org/officeDocument/2006/relationships/hyperlink" Target="file:///h:\HJ%20Archive\2009\02-12-09.docx" TargetMode="External"/><Relationship Id="rId17" Type="http://schemas.openxmlformats.org/officeDocument/2006/relationships/hyperlink" Target="file:///p:\pprever\2009-10\155_20081210.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09\05-21-09.docx" TargetMode="External"/><Relationship Id="rId20" Type="http://schemas.openxmlformats.org/officeDocument/2006/relationships/hyperlink" Target="file:///p:\pprever\2009-10\155_20090211.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2-11-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09\05-20-09.docx" TargetMode="External"/><Relationship Id="rId23" Type="http://schemas.openxmlformats.org/officeDocument/2006/relationships/footer" Target="footer2.xml"/><Relationship Id="rId10" Type="http://schemas.openxmlformats.org/officeDocument/2006/relationships/hyperlink" Target="file:///h:\SJ%20Archive\2009\02-10-09.docx" TargetMode="External"/><Relationship Id="rId19" Type="http://schemas.openxmlformats.org/officeDocument/2006/relationships/hyperlink" Target="file:///p:\pprever\2009-10\155_20090210.docx" TargetMode="External"/><Relationship Id="rId4" Type="http://schemas.openxmlformats.org/officeDocument/2006/relationships/footnotes" Target="footnotes.xml"/><Relationship Id="rId9" Type="http://schemas.openxmlformats.org/officeDocument/2006/relationships/hyperlink" Target="file:///h:\SJ%20Archive\2009\02-10-09.docx" TargetMode="External"/><Relationship Id="rId14" Type="http://schemas.openxmlformats.org/officeDocument/2006/relationships/hyperlink" Target="file:///h:\HJ%20Archive\2009\05-19-09.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1730</Words>
  <Characters>9360</Characters>
  <Application>Microsoft Office Word</Application>
  <DocSecurity>0</DocSecurity>
  <Lines>237</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155: Military Protection Equal Protection Act - South Carolina Legislature Online</dc:title>
  <dc:subject/>
  <dc:creator>SANDERSM</dc:creator>
  <cp:keywords/>
  <dc:description/>
  <cp:lastModifiedBy>N Cumfer</cp:lastModifiedBy>
  <cp:revision>6</cp:revision>
  <cp:lastPrinted>2009-05-21T16:49:00Z</cp:lastPrinted>
  <dcterms:created xsi:type="dcterms:W3CDTF">2009-08-04T14:54:00Z</dcterms:created>
  <dcterms:modified xsi:type="dcterms:W3CDTF">2014-11-24T14:54:00Z</dcterms:modified>
</cp:coreProperties>
</file>