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ACB" w:rsidRDefault="0042664F">
      <w:pPr>
        <w:widowControl w:val="0"/>
        <w:jc w:val="center"/>
        <w:rPr>
          <w:rFonts w:cs="Times New Roman"/>
        </w:rPr>
      </w:pPr>
      <w:bookmarkStart w:id="0" w:name="_GoBack"/>
      <w:bookmarkEnd w:id="0"/>
      <w:r>
        <w:rPr>
          <w:rFonts w:cs="Times New Roman"/>
          <w:b/>
        </w:rPr>
        <w:t>South Carolina General Assembly</w:t>
      </w:r>
    </w:p>
    <w:p w:rsidR="00BB4ACB" w:rsidRDefault="0042664F">
      <w:pPr>
        <w:widowControl w:val="0"/>
        <w:jc w:val="center"/>
        <w:rPr>
          <w:rFonts w:cs="Times New Roman"/>
        </w:rPr>
      </w:pPr>
      <w:r>
        <w:rPr>
          <w:rFonts w:cs="Times New Roman"/>
        </w:rPr>
        <w:t>118th Session, 2009-2010</w:t>
      </w:r>
    </w:p>
    <w:p w:rsidR="00BB4ACB" w:rsidRDefault="00BB4ACB">
      <w:pPr>
        <w:widowControl w:val="0"/>
        <w:jc w:val="left"/>
        <w:rPr>
          <w:rFonts w:cs="Times New Roman"/>
        </w:rPr>
      </w:pPr>
    </w:p>
    <w:p w:rsidR="00BB4ACB" w:rsidRDefault="0042664F">
      <w:pPr>
        <w:widowControl w:val="0"/>
        <w:jc w:val="left"/>
        <w:rPr>
          <w:rFonts w:cs="Times New Roman"/>
          <w:b/>
        </w:rPr>
      </w:pPr>
      <w:r>
        <w:rPr>
          <w:rFonts w:cs="Times New Roman"/>
          <w:b/>
        </w:rPr>
        <w:t>S. 277</w:t>
      </w:r>
    </w:p>
    <w:p w:rsidR="00BB4ACB" w:rsidRDefault="00BB4ACB">
      <w:pPr>
        <w:widowControl w:val="0"/>
        <w:jc w:val="left"/>
        <w:rPr>
          <w:rFonts w:cs="Times New Roman"/>
          <w:b/>
        </w:rPr>
      </w:pPr>
    </w:p>
    <w:p w:rsidR="00BB4ACB" w:rsidRDefault="0042664F">
      <w:pPr>
        <w:widowControl w:val="0"/>
        <w:jc w:val="left"/>
        <w:rPr>
          <w:rFonts w:cs="Times New Roman"/>
        </w:rPr>
      </w:pPr>
      <w:r>
        <w:rPr>
          <w:rFonts w:cs="Times New Roman"/>
          <w:b/>
        </w:rPr>
        <w:t>STATUS INFORMATION</w:t>
      </w:r>
    </w:p>
    <w:p w:rsidR="00BB4ACB" w:rsidRDefault="00BB4ACB">
      <w:pPr>
        <w:widowControl w:val="0"/>
        <w:jc w:val="left"/>
        <w:rPr>
          <w:rFonts w:cs="Times New Roman"/>
        </w:rPr>
      </w:pPr>
    </w:p>
    <w:p w:rsidR="00BB4ACB" w:rsidRDefault="0042664F">
      <w:pPr>
        <w:widowControl w:val="0"/>
        <w:jc w:val="left"/>
        <w:rPr>
          <w:rFonts w:cs="Times New Roman"/>
        </w:rPr>
      </w:pPr>
      <w:r>
        <w:rPr>
          <w:rFonts w:cs="Times New Roman"/>
        </w:rPr>
        <w:t>General Bill</w:t>
      </w:r>
    </w:p>
    <w:p w:rsidR="00BB4ACB" w:rsidRDefault="008F4CB4">
      <w:pPr>
        <w:widowControl w:val="0"/>
        <w:jc w:val="left"/>
        <w:rPr>
          <w:rFonts w:cs="Times New Roman"/>
        </w:rPr>
      </w:pPr>
      <w:r>
        <w:rPr>
          <w:rFonts w:cs="Times New Roman"/>
        </w:rPr>
        <w:t>Sponsors: Senators Alexander and Davis</w:t>
      </w:r>
    </w:p>
    <w:p w:rsidR="00BB4ACB" w:rsidRDefault="0042664F">
      <w:pPr>
        <w:widowControl w:val="0"/>
        <w:jc w:val="left"/>
        <w:rPr>
          <w:rFonts w:cs="Times New Roman"/>
        </w:rPr>
      </w:pPr>
      <w:r>
        <w:rPr>
          <w:rFonts w:cs="Times New Roman"/>
        </w:rPr>
        <w:t>Document Path: l:\s-gen\drafting\tca\001hoa .jd.tca.docx</w:t>
      </w:r>
    </w:p>
    <w:p w:rsidR="00BB4ACB" w:rsidRDefault="00BB4ACB">
      <w:pPr>
        <w:widowControl w:val="0"/>
        <w:jc w:val="left"/>
        <w:rPr>
          <w:rFonts w:cs="Times New Roman"/>
        </w:rPr>
      </w:pPr>
    </w:p>
    <w:p w:rsidR="00BB4ACB" w:rsidRDefault="0042664F">
      <w:pPr>
        <w:widowControl w:val="0"/>
        <w:jc w:val="left"/>
        <w:rPr>
          <w:rFonts w:cs="Times New Roman"/>
        </w:rPr>
      </w:pPr>
      <w:r>
        <w:rPr>
          <w:rFonts w:cs="Times New Roman"/>
        </w:rPr>
        <w:t>Introduced in the Senate on January 15, 2009</w:t>
      </w:r>
    </w:p>
    <w:p w:rsidR="00BB4ACB" w:rsidRDefault="0042664F">
      <w:pPr>
        <w:widowControl w:val="0"/>
        <w:jc w:val="left"/>
        <w:rPr>
          <w:rFonts w:cs="Times New Roman"/>
        </w:rPr>
      </w:pPr>
      <w:r>
        <w:rPr>
          <w:rFonts w:cs="Times New Roman"/>
        </w:rPr>
        <w:t>Currently residing in the Senate</w:t>
      </w:r>
    </w:p>
    <w:p w:rsidR="00BB4ACB" w:rsidRDefault="00BB4ACB">
      <w:pPr>
        <w:widowControl w:val="0"/>
        <w:jc w:val="left"/>
        <w:rPr>
          <w:rFonts w:cs="Times New Roman"/>
        </w:rPr>
      </w:pPr>
    </w:p>
    <w:p w:rsidR="00BB4ACB" w:rsidRDefault="0042664F">
      <w:pPr>
        <w:widowControl w:val="0"/>
        <w:jc w:val="left"/>
        <w:rPr>
          <w:rFonts w:cs="Times New Roman"/>
        </w:rPr>
      </w:pPr>
      <w:r>
        <w:rPr>
          <w:rFonts w:cs="Times New Roman"/>
        </w:rPr>
        <w:t>Summary: Homeowners' associations</w:t>
      </w:r>
    </w:p>
    <w:p w:rsidR="00BB4ACB" w:rsidRDefault="00BB4ACB">
      <w:pPr>
        <w:widowControl w:val="0"/>
        <w:jc w:val="left"/>
        <w:rPr>
          <w:rFonts w:cs="Times New Roman"/>
        </w:rPr>
      </w:pPr>
    </w:p>
    <w:p w:rsidR="00BB4ACB" w:rsidRDefault="00BB4ACB">
      <w:pPr>
        <w:widowControl w:val="0"/>
        <w:jc w:val="left"/>
        <w:rPr>
          <w:rFonts w:cs="Times New Roman"/>
        </w:rPr>
      </w:pPr>
    </w:p>
    <w:p w:rsidR="00BB4ACB" w:rsidRDefault="0042664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B4ACB" w:rsidRDefault="00BB4ACB">
      <w:pPr>
        <w:widowControl w:val="0"/>
        <w:tabs>
          <w:tab w:val="center" w:pos="590"/>
          <w:tab w:val="center" w:pos="1440"/>
          <w:tab w:val="left" w:pos="1872"/>
          <w:tab w:val="left" w:pos="9187"/>
        </w:tabs>
        <w:jc w:val="left"/>
        <w:rPr>
          <w:rFonts w:cs="Times New Roman"/>
        </w:rPr>
      </w:pPr>
    </w:p>
    <w:p w:rsidR="00BB4ACB" w:rsidRDefault="0042664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B4ACB" w:rsidRDefault="0042664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DC4F9E">
          <w:rPr>
            <w:rStyle w:val="Hyperlink"/>
            <w:rFonts w:cs="Times New Roman"/>
          </w:rPr>
          <w:t>SJ</w:t>
        </w:r>
      </w:hyperlink>
      <w:r>
        <w:rPr>
          <w:rFonts w:cs="Times New Roman"/>
        </w:rPr>
        <w:noBreakHyphen/>
        <w:t>5</w:t>
      </w:r>
    </w:p>
    <w:p w:rsidR="00BB4ACB" w:rsidRDefault="0042664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DC4F9E">
          <w:rPr>
            <w:rStyle w:val="Hyperlink"/>
            <w:rFonts w:cs="Times New Roman"/>
          </w:rPr>
          <w:t>SJ</w:t>
        </w:r>
      </w:hyperlink>
      <w:r>
        <w:rPr>
          <w:rFonts w:cs="Times New Roman"/>
        </w:rPr>
        <w:noBreakHyphen/>
        <w:t>5</w:t>
      </w:r>
    </w:p>
    <w:p w:rsidR="00BB4ACB" w:rsidRDefault="0042664F">
      <w:pPr>
        <w:widowControl w:val="0"/>
        <w:tabs>
          <w:tab w:val="right" w:pos="1008"/>
          <w:tab w:val="left" w:pos="1152"/>
          <w:tab w:val="left" w:pos="1872"/>
          <w:tab w:val="left" w:pos="9187"/>
        </w:tabs>
        <w:ind w:left="2088" w:hanging="2088"/>
        <w:jc w:val="left"/>
        <w:rPr>
          <w:rFonts w:cs="Times New Roman"/>
        </w:rPr>
      </w:pPr>
      <w:r>
        <w:rPr>
          <w:rFonts w:cs="Times New Roman"/>
        </w:rPr>
        <w:tab/>
        <w:t>5/5/2009</w:t>
      </w:r>
      <w:r>
        <w:rPr>
          <w:rFonts w:cs="Times New Roman"/>
        </w:rPr>
        <w:tab/>
        <w:t>Senate</w:t>
      </w:r>
      <w:r>
        <w:rPr>
          <w:rFonts w:cs="Times New Roman"/>
        </w:rPr>
        <w:tab/>
        <w:t xml:space="preserve">Committee report: Favorable with amendment </w:t>
      </w:r>
      <w:r>
        <w:rPr>
          <w:rFonts w:cs="Times New Roman"/>
          <w:b/>
        </w:rPr>
        <w:t>Banking and Insurance</w:t>
      </w:r>
      <w:r>
        <w:rPr>
          <w:rFonts w:cs="Times New Roman"/>
        </w:rPr>
        <w:t xml:space="preserve"> </w:t>
      </w:r>
      <w:hyperlink r:id="rId8" w:history="1">
        <w:r w:rsidRPr="00DC4F9E">
          <w:rPr>
            <w:rStyle w:val="Hyperlink"/>
            <w:rFonts w:cs="Times New Roman"/>
          </w:rPr>
          <w:t>SJ</w:t>
        </w:r>
      </w:hyperlink>
      <w:r>
        <w:rPr>
          <w:rFonts w:cs="Times New Roman"/>
        </w:rPr>
        <w:noBreakHyphen/>
        <w:t>14</w:t>
      </w:r>
    </w:p>
    <w:p w:rsidR="00BB4ACB" w:rsidRDefault="0042664F">
      <w:pPr>
        <w:widowControl w:val="0"/>
        <w:tabs>
          <w:tab w:val="right" w:pos="1008"/>
          <w:tab w:val="left" w:pos="1152"/>
          <w:tab w:val="left" w:pos="1872"/>
          <w:tab w:val="left" w:pos="9187"/>
        </w:tabs>
        <w:ind w:left="2088" w:hanging="2088"/>
        <w:jc w:val="left"/>
        <w:rPr>
          <w:rFonts w:cs="Times New Roman"/>
        </w:rPr>
      </w:pPr>
      <w:r>
        <w:rPr>
          <w:rFonts w:cs="Times New Roman"/>
        </w:rPr>
        <w:tab/>
        <w:t>5/6/2009</w:t>
      </w:r>
      <w:r>
        <w:rPr>
          <w:rFonts w:cs="Times New Roman"/>
        </w:rPr>
        <w:tab/>
      </w:r>
      <w:r>
        <w:rPr>
          <w:rFonts w:cs="Times New Roman"/>
        </w:rPr>
        <w:tab/>
        <w:t>Scrivener's error corrected</w:t>
      </w:r>
    </w:p>
    <w:p w:rsidR="00BB4ACB" w:rsidRDefault="00BB4ACB">
      <w:pPr>
        <w:widowControl w:val="0"/>
        <w:tabs>
          <w:tab w:val="right" w:pos="1008"/>
          <w:tab w:val="left" w:pos="1152"/>
          <w:tab w:val="left" w:pos="1872"/>
          <w:tab w:val="left" w:pos="9187"/>
        </w:tabs>
        <w:ind w:left="2088" w:hanging="2088"/>
        <w:jc w:val="left"/>
        <w:rPr>
          <w:rFonts w:cs="Times New Roman"/>
        </w:rPr>
      </w:pPr>
    </w:p>
    <w:p w:rsidR="00BB4ACB" w:rsidRDefault="00BB4ACB">
      <w:pPr>
        <w:widowControl w:val="0"/>
        <w:tabs>
          <w:tab w:val="right" w:pos="1008"/>
          <w:tab w:val="left" w:pos="1152"/>
          <w:tab w:val="left" w:pos="1872"/>
          <w:tab w:val="left" w:pos="9187"/>
        </w:tabs>
        <w:ind w:left="2088" w:hanging="2088"/>
        <w:jc w:val="left"/>
        <w:rPr>
          <w:rFonts w:cs="Times New Roman"/>
        </w:rPr>
      </w:pPr>
    </w:p>
    <w:p w:rsidR="00BB4ACB" w:rsidRDefault="0042664F">
      <w:pPr>
        <w:widowControl w:val="0"/>
        <w:jc w:val="left"/>
        <w:rPr>
          <w:rFonts w:cs="Times New Roman"/>
        </w:rPr>
      </w:pPr>
      <w:r>
        <w:rPr>
          <w:rFonts w:cs="Times New Roman"/>
          <w:b/>
        </w:rPr>
        <w:t>VERSIONS OF THIS BILL</w:t>
      </w:r>
    </w:p>
    <w:p w:rsidR="00BB4ACB" w:rsidRDefault="00BB4ACB">
      <w:pPr>
        <w:widowControl w:val="0"/>
        <w:jc w:val="left"/>
        <w:rPr>
          <w:rFonts w:cs="Times New Roman"/>
        </w:rPr>
      </w:pPr>
    </w:p>
    <w:p w:rsidR="00BB4ACB" w:rsidRDefault="00E130B7">
      <w:pPr>
        <w:widowControl w:val="0"/>
        <w:jc w:val="left"/>
        <w:rPr>
          <w:rFonts w:cs="Times New Roman"/>
        </w:rPr>
      </w:pPr>
      <w:hyperlink r:id="rId9" w:history="1">
        <w:r w:rsidR="0042664F">
          <w:rPr>
            <w:rStyle w:val="Hyperlink"/>
            <w:rFonts w:cs="Times New Roman"/>
          </w:rPr>
          <w:t>1/15/2009</w:t>
        </w:r>
      </w:hyperlink>
    </w:p>
    <w:p w:rsidR="00BB4ACB" w:rsidRDefault="00E130B7">
      <w:hyperlink r:id="rId10" w:history="1">
        <w:r w:rsidR="0042664F">
          <w:rPr>
            <w:rStyle w:val="Hyperlink"/>
          </w:rPr>
          <w:t>5/5/2009</w:t>
        </w:r>
      </w:hyperlink>
    </w:p>
    <w:p w:rsidR="00BB4ACB" w:rsidRDefault="00E130B7">
      <w:hyperlink r:id="rId11" w:history="1">
        <w:r w:rsidR="0042664F">
          <w:rPr>
            <w:rStyle w:val="Hyperlink"/>
          </w:rPr>
          <w:t>5/6/2009</w:t>
        </w:r>
      </w:hyperlink>
    </w:p>
    <w:p w:rsidR="00BB4ACB" w:rsidRDefault="00BB4ACB"/>
    <w:p w:rsidR="00BB4ACB" w:rsidRDefault="00BB4ACB">
      <w:pPr>
        <w:sectPr w:rsidR="00BB4ACB">
          <w:pgSz w:w="12240" w:h="15840" w:code="1"/>
          <w:pgMar w:top="1080" w:right="1440" w:bottom="1080" w:left="1440" w:header="720" w:footer="720" w:gutter="0"/>
          <w:cols w:space="720"/>
          <w:noEndnote/>
          <w:docGrid w:linePitch="360"/>
        </w:sect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COMMITTEE REPORT</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5, 2009</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277</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Alexander</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right" w:pos="5933"/>
        </w:tabs>
        <w:suppressAutoHyphens/>
        <w:rPr>
          <w:rFonts w:eastAsia="Times New Roman" w:cs="Times New Roman"/>
        </w:rPr>
      </w:pPr>
      <w:r>
        <w:rPr>
          <w:rFonts w:eastAsia="Times New Roman" w:cs="Times New Roman"/>
        </w:rPr>
        <w:t>S. Printed 5/5/09--S.</w:t>
      </w:r>
      <w:r>
        <w:rPr>
          <w:rFonts w:eastAsia="Times New Roman" w:cs="Times New Roman"/>
        </w:rPr>
        <w:tab/>
        <w:t>[SEC 5/6/09 12:14 PM]</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BANKING AND INSURANCE</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277) 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etc., respectfully</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the bill, as and if amended, by deleting all after the enacting words and inserting:</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t>/  SECTION</w:t>
      </w:r>
      <w:r>
        <w:rPr>
          <w:rFonts w:eastAsia="Times New Roman" w:cs="Times New Roman"/>
          <w:snapToGrid w:val="0"/>
          <w:szCs w:val="20"/>
        </w:rPr>
        <w:tab/>
        <w:t>1.</w:t>
      </w:r>
      <w:r>
        <w:rPr>
          <w:rFonts w:eastAsia="Times New Roman" w:cs="Times New Roman"/>
          <w:snapToGrid w:val="0"/>
          <w:szCs w:val="20"/>
        </w:rPr>
        <w:tab/>
      </w:r>
      <w:r>
        <w:rPr>
          <w:rFonts w:eastAsia="Times New Roman" w:cs="Times New Roman"/>
          <w:u w:color="000000" w:themeColor="text1"/>
        </w:rPr>
        <w:t>Chapter 15, Title 29 of the 1976 Code is amended by adding:</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t>“Section 29</w:t>
      </w:r>
      <w:r>
        <w:rPr>
          <w:rFonts w:eastAsia="Times New Roman" w:cs="Times New Roman"/>
          <w:u w:color="000000" w:themeColor="text1"/>
        </w:rPr>
        <w:noBreakHyphen/>
        <w:t>15</w:t>
      </w:r>
      <w:r>
        <w:rPr>
          <w:rFonts w:eastAsia="Times New Roman" w:cs="Times New Roman"/>
          <w:u w:color="000000" w:themeColor="text1"/>
        </w:rPr>
        <w:noBreakHyphen/>
        <w:t>15.</w:t>
      </w:r>
      <w:r>
        <w:rPr>
          <w:rFonts w:eastAsia="Times New Roman" w:cs="Times New Roman"/>
          <w:u w:color="000000" w:themeColor="text1"/>
        </w:rPr>
        <w:tab/>
        <w:t>(A)</w:t>
      </w:r>
      <w:r>
        <w:rPr>
          <w:rFonts w:eastAsia="Times New Roman" w:cs="Times New Roman"/>
          <w:u w:color="000000" w:themeColor="text1"/>
        </w:rPr>
        <w:tab/>
        <w:t>A judgment lien obtained by a homeowners’ association against real property subject to the association’s covenants or other governing agreement may not be extinguished by a tax sale.</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t>(B)</w:t>
      </w:r>
      <w:r>
        <w:rPr>
          <w:rFonts w:eastAsia="Times New Roman" w:cs="Times New Roman"/>
          <w:u w:color="000000" w:themeColor="text1"/>
        </w:rPr>
        <w:tab/>
        <w:t>A judgment lien under this section is enforceable when recorded in the county where the property is situated.</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t>(C)(1)</w:t>
      </w:r>
      <w:r>
        <w:rPr>
          <w:rFonts w:eastAsia="Times New Roman" w:cs="Times New Roman"/>
          <w:u w:color="000000" w:themeColor="text1"/>
        </w:rPr>
        <w:tab/>
        <w:t>When an attempt to sell real property at a tax sale is unsuccessful and the property is transferred to the Forfeited Land Commission in the county where the real property is situated, the commission or county may not be assessed a fee or other financial obligation by a homeowners’ association of which the real property is a part.</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r>
      <w:r>
        <w:rPr>
          <w:rFonts w:eastAsia="Times New Roman" w:cs="Times New Roman"/>
          <w:u w:color="000000" w:themeColor="text1"/>
        </w:rPr>
        <w:tab/>
        <w:t>(2)</w:t>
      </w:r>
      <w:r>
        <w:rPr>
          <w:rFonts w:eastAsia="Times New Roman" w:cs="Times New Roman"/>
          <w:u w:color="000000" w:themeColor="text1"/>
        </w:rPr>
        <w:tab/>
        <w:t xml:space="preserve">During the time the commission holds the property, the homeowners’ associations shall maintain a record of the accrual of unpaid fees or other financial obligations associated with the property and monthly shall provide this report to the commission.  The homeowners’ association may collect these accrued fees or </w:t>
      </w:r>
      <w:r>
        <w:rPr>
          <w:rFonts w:eastAsia="Times New Roman" w:cs="Times New Roman"/>
          <w:u w:color="000000" w:themeColor="text1"/>
        </w:rPr>
        <w:lastRenderedPageBreak/>
        <w:t>other financial obligations from a party to which the commission transfers the property.</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r>
      <w:r>
        <w:rPr>
          <w:rFonts w:eastAsia="Times New Roman" w:cs="Times New Roman"/>
          <w:u w:color="000000" w:themeColor="text1"/>
        </w:rPr>
        <w:tab/>
        <w:t>(3)</w:t>
      </w:r>
      <w:r>
        <w:rPr>
          <w:rFonts w:eastAsia="Times New Roman" w:cs="Times New Roman"/>
          <w:u w:color="000000" w:themeColor="text1"/>
        </w:rPr>
        <w:tab/>
        <w:t>Prior to transferring the property from the commission to another party, the commission has an affirmative duty to disclose these accrued, unpaid fees and financial obligations to this party or the commission is liable for the accrued fees and other financial obligations.”</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t>SECTION</w:t>
      </w:r>
      <w:r>
        <w:rPr>
          <w:rFonts w:eastAsia="Times New Roman" w:cs="Times New Roman"/>
          <w:u w:color="000000" w:themeColor="text1"/>
        </w:rPr>
        <w:tab/>
        <w:t>2.</w:t>
      </w:r>
      <w:r>
        <w:rPr>
          <w:rFonts w:eastAsia="Times New Roman" w:cs="Times New Roman"/>
          <w:u w:color="000000" w:themeColor="text1"/>
        </w:rPr>
        <w:tab/>
        <w:t>This act takes effect upon approval by the Governor.  /</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Renumber sections to conform.</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Amend title to conform.</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DAVID L. THOMAS for Committee.</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$0 (No additional expenditures or savings are expected)</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BB4ACB" w:rsidRDefault="0042664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EXPLANATION OF IMPACT:</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t>The Judicial Department indicates this bill will have no fiscal impact on the General Fund of the State, nor on federal and/or other funds.</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BB4ACB" w:rsidRDefault="0042664F">
      <w:pPr>
        <w:tabs>
          <w:tab w:val="left" w:pos="3024"/>
        </w:tabs>
        <w:suppressAutoHyphens/>
        <w:rPr>
          <w:rFonts w:eastAsia="Times New Roman" w:cs="Times New Roman"/>
        </w:rPr>
      </w:pPr>
      <w:r>
        <w:rPr>
          <w:rFonts w:eastAsia="Times New Roman" w:cs="Times New Roman"/>
        </w:rPr>
        <w:tab/>
        <w:t>Harry Bell</w:t>
      </w:r>
    </w:p>
    <w:p w:rsidR="00BB4ACB" w:rsidRDefault="0042664F">
      <w:pPr>
        <w:tabs>
          <w:tab w:val="left" w:pos="3024"/>
        </w:tabs>
        <w:suppressAutoHyphens/>
        <w:rPr>
          <w:rFonts w:eastAsia="Times New Roman" w:cs="Times New Roman"/>
        </w:rPr>
      </w:pPr>
      <w:r>
        <w:rPr>
          <w:rFonts w:eastAsia="Times New Roman" w:cs="Times New Roman"/>
        </w:rPr>
        <w:tab/>
        <w:t>Office of State Budget</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B4AC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top"/>
      <w:bookmarkEnd w:id="7"/>
      <w:r>
        <w:rPr>
          <w:rFonts w:eastAsia="Times New Roman" w:cs="Times New Roman"/>
        </w:rPr>
        <w:t>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AGAINST REAL PROPERTY ARE SUPERIOR TO CLAIMS OF OTHER CREDITORS.</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15, Title 29 of the 1976 Code is amended by adding:</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29</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judgment lien obtained by a homeowners’ association against real property subject to the association’s covenants or other governing agreement is:</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superior to all claims of creditors against the property if the judgment lien arose from an unsatisfied assessment or other obligation of the property owner to the association under the association’s covenants; and </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appurtenant to the subject real property.</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Proceeds from the property’s sale first must be used to satisfy the association’s judgment lien.  Remaining funds may be used to satisfy other liens against the property based on priority.</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A judgment lien under this section is enforceable when recorded in the county where the property is situated.”</w:t>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BB4ACB" w:rsidRDefault="0042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BB4ACB" w:rsidRDefault="00BB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4ACB" w:rsidSect="00BB4AC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ACB" w:rsidRDefault="0042664F">
      <w:r>
        <w:separator/>
      </w:r>
    </w:p>
  </w:endnote>
  <w:endnote w:type="continuationSeparator" w:id="0">
    <w:p w:rsidR="00BB4ACB" w:rsidRDefault="0042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75ACF-709D-4448-B880-C9125E660D43}"/>
    <w:embedBold r:id="rId2" w:fontKey="{FBCBC5A0-75AA-4507-ABD9-C053EFB1E315}"/>
    <w:embedItalic r:id="rId3" w:fontKey="{98F44D2F-1A7F-405F-8A78-62797C177D03}"/>
  </w:font>
  <w:font w:name="Calibri">
    <w:panose1 w:val="020F0502020204030204"/>
    <w:charset w:val="00"/>
    <w:family w:val="swiss"/>
    <w:pitch w:val="variable"/>
    <w:sig w:usb0="E10002FF" w:usb1="4000ACFF" w:usb2="00000009" w:usb3="00000000" w:csb0="0000019F" w:csb1="00000000"/>
    <w:embedRegular r:id="rId4" w:fontKey="{DC141984-A0EE-4C0F-A1B6-BBE82D1707AE}"/>
    <w:embedBold r:id="rId5" w:fontKey="{F970B59A-1E08-4929-863F-F8C450B65D8F}"/>
  </w:font>
  <w:font w:name="Tahoma">
    <w:panose1 w:val="020B0604030504040204"/>
    <w:charset w:val="00"/>
    <w:family w:val="swiss"/>
    <w:pitch w:val="variable"/>
    <w:sig w:usb0="21002A87" w:usb1="80000000" w:usb2="00000008" w:usb3="00000000" w:csb0="000101FF" w:csb1="00000000"/>
    <w:embedRegular r:id="rId6" w:fontKey="{DCD06C29-E36F-4AFB-8AB4-65360C1C302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D0BE9D43-83AC-4852-9D7A-C52143B85B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ACB" w:rsidRDefault="0042664F">
    <w:pPr>
      <w:pStyle w:val="Footer"/>
      <w:tabs>
        <w:tab w:val="clear" w:pos="4680"/>
        <w:tab w:val="clear" w:pos="9360"/>
        <w:tab w:val="center" w:pos="2995"/>
      </w:tabs>
      <w:spacing w:before="120"/>
    </w:pPr>
    <w:r>
      <w:t>[277-</w:t>
    </w:r>
    <w:r w:rsidR="00E130B7">
      <w:fldChar w:fldCharType="begin"/>
    </w:r>
    <w:r w:rsidR="00E130B7">
      <w:instrText xml:space="preserve"> PAGE  \* MERGEFORMAT </w:instrText>
    </w:r>
    <w:r w:rsidR="00E130B7">
      <w:fldChar w:fldCharType="separate"/>
    </w:r>
    <w:r w:rsidR="00E130B7">
      <w:rPr>
        <w:noProof/>
      </w:rPr>
      <w:t>1</w:t>
    </w:r>
    <w:r w:rsidR="00E130B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ACB" w:rsidRDefault="0042664F">
    <w:pPr>
      <w:pStyle w:val="Footer"/>
      <w:tabs>
        <w:tab w:val="clear" w:pos="4680"/>
        <w:tab w:val="clear" w:pos="9360"/>
        <w:tab w:val="center" w:pos="2995"/>
      </w:tabs>
      <w:spacing w:before="120"/>
    </w:pPr>
    <w:r>
      <w:t>[277]</w:t>
    </w:r>
    <w:r>
      <w:tab/>
    </w:r>
    <w:r w:rsidR="00E130B7">
      <w:fldChar w:fldCharType="begin"/>
    </w:r>
    <w:r w:rsidR="00E130B7">
      <w:instrText xml:space="preserve"> PAGE  \* MERGEFORMAT </w:instrText>
    </w:r>
    <w:r w:rsidR="00E130B7">
      <w:fldChar w:fldCharType="separate"/>
    </w:r>
    <w:r>
      <w:rPr>
        <w:noProof/>
      </w:rPr>
      <w:t>1</w:t>
    </w:r>
    <w:r w:rsidR="00E130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ACB" w:rsidRDefault="0042664F">
      <w:r>
        <w:separator/>
      </w:r>
    </w:p>
  </w:footnote>
  <w:footnote w:type="continuationSeparator" w:id="0">
    <w:p w:rsidR="00BB4ACB" w:rsidRDefault="004266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B4ACB"/>
    <w:rsid w:val="0022250E"/>
    <w:rsid w:val="0042664F"/>
    <w:rsid w:val="00496FCC"/>
    <w:rsid w:val="004B5F82"/>
    <w:rsid w:val="007E397D"/>
    <w:rsid w:val="008F4CB4"/>
    <w:rsid w:val="00BB4ACB"/>
    <w:rsid w:val="00DC4F9E"/>
    <w:rsid w:val="00E13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356483-E92D-4463-AA0A-E8304CB2D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B4ACB"/>
    <w:rPr>
      <w:szCs w:val="21"/>
    </w:rPr>
  </w:style>
  <w:style w:type="character" w:customStyle="1" w:styleId="PlainTextChar">
    <w:name w:val="Plain Text Char"/>
    <w:basedOn w:val="DefaultParagraphFont"/>
    <w:link w:val="PlainText"/>
    <w:uiPriority w:val="99"/>
    <w:rsid w:val="00BB4ACB"/>
    <w:rPr>
      <w:szCs w:val="21"/>
    </w:rPr>
  </w:style>
  <w:style w:type="paragraph" w:styleId="BodyText">
    <w:name w:val="Body Text"/>
    <w:basedOn w:val="Normal"/>
    <w:link w:val="BodyTextChar"/>
    <w:uiPriority w:val="99"/>
    <w:locked/>
    <w:rsid w:val="00BB4ACB"/>
  </w:style>
  <w:style w:type="character" w:customStyle="1" w:styleId="BodyTextChar">
    <w:name w:val="Body Text Char"/>
    <w:basedOn w:val="DefaultParagraphFont"/>
    <w:link w:val="BodyText"/>
    <w:uiPriority w:val="99"/>
    <w:rsid w:val="00BB4ACB"/>
  </w:style>
  <w:style w:type="paragraph" w:styleId="BalloonText">
    <w:name w:val="Balloon Text"/>
    <w:next w:val="Normal"/>
    <w:link w:val="BalloonTextChar"/>
    <w:uiPriority w:val="99"/>
    <w:unhideWhenUsed/>
    <w:rsid w:val="00BB4ACB"/>
    <w:rPr>
      <w:rFonts w:cs="Tahoma"/>
      <w:szCs w:val="16"/>
    </w:rPr>
  </w:style>
  <w:style w:type="character" w:customStyle="1" w:styleId="BalloonTextChar">
    <w:name w:val="Balloon Text Char"/>
    <w:basedOn w:val="DefaultParagraphFont"/>
    <w:link w:val="BalloonText"/>
    <w:uiPriority w:val="99"/>
    <w:rsid w:val="00BB4ACB"/>
    <w:rPr>
      <w:rFonts w:cs="Tahoma"/>
      <w:szCs w:val="16"/>
    </w:rPr>
  </w:style>
  <w:style w:type="paragraph" w:styleId="NormalWeb">
    <w:name w:val="Normal (Web)"/>
    <w:basedOn w:val="Normal"/>
    <w:next w:val="Normal"/>
    <w:semiHidden/>
    <w:locked/>
    <w:rsid w:val="00BB4AC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B4AC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B4ACB"/>
    <w:rPr>
      <w:rFonts w:cs="Times New Roman"/>
    </w:rPr>
  </w:style>
  <w:style w:type="paragraph" w:styleId="Header">
    <w:name w:val="header"/>
    <w:basedOn w:val="Normal"/>
    <w:link w:val="HeaderChar"/>
    <w:unhideWhenUsed/>
    <w:locked/>
    <w:rsid w:val="00BB4ACB"/>
    <w:pPr>
      <w:tabs>
        <w:tab w:val="center" w:pos="4680"/>
        <w:tab w:val="right" w:pos="9360"/>
      </w:tabs>
    </w:pPr>
  </w:style>
  <w:style w:type="character" w:customStyle="1" w:styleId="HeaderChar">
    <w:name w:val="Header Char"/>
    <w:basedOn w:val="DefaultParagraphFont"/>
    <w:link w:val="Header"/>
    <w:rsid w:val="00BB4ACB"/>
  </w:style>
  <w:style w:type="character" w:styleId="LineNumber">
    <w:name w:val="line number"/>
    <w:basedOn w:val="DefaultParagraphFont"/>
    <w:uiPriority w:val="99"/>
    <w:semiHidden/>
    <w:unhideWhenUsed/>
    <w:locked/>
    <w:rsid w:val="00BB4ACB"/>
  </w:style>
  <w:style w:type="character" w:styleId="Hyperlink">
    <w:name w:val="Hyperlink"/>
    <w:basedOn w:val="DefaultParagraphFont"/>
    <w:uiPriority w:val="99"/>
    <w:unhideWhenUsed/>
    <w:locked/>
    <w:rsid w:val="00BB4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5-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hyperlink" Target="file:///p:\pprever\2009-10\277_2009050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277_20090505.docx" TargetMode="External"/><Relationship Id="rId4" Type="http://schemas.openxmlformats.org/officeDocument/2006/relationships/footnotes" Target="footnotes.xml"/><Relationship Id="rId9" Type="http://schemas.openxmlformats.org/officeDocument/2006/relationships/hyperlink" Target="file:///p:\pprever\2009-10\277_200901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711</Words>
  <Characters>3804</Characters>
  <Application>Microsoft Office Word</Application>
  <DocSecurity>0</DocSecurity>
  <Lines>144</Lines>
  <Paragraphs>62</Paragraphs>
  <ScaleCrop>false</ScaleCrop>
  <Company>Project Management</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277: Homeowners' associations - South Carolina Legislature Online</dc:title>
  <dc:subject/>
  <dc:creator>NSC</dc:creator>
  <cp:keywords/>
  <dc:description/>
  <cp:lastModifiedBy>N Cumfer</cp:lastModifiedBy>
  <cp:revision>8</cp:revision>
  <dcterms:created xsi:type="dcterms:W3CDTF">2009-05-06T16:15:00Z</dcterms:created>
  <dcterms:modified xsi:type="dcterms:W3CDTF">2014-11-24T14:56:00Z</dcterms:modified>
</cp:coreProperties>
</file>