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08F" w:rsidRDefault="005E4EE2">
      <w:pPr>
        <w:widowControl w:val="0"/>
        <w:jc w:val="center"/>
      </w:pPr>
      <w:bookmarkStart w:id="0" w:name="_GoBack"/>
      <w:bookmarkEnd w:id="0"/>
      <w:r>
        <w:rPr>
          <w:b/>
        </w:rPr>
        <w:t>South Carolina General Assembly</w:t>
      </w:r>
    </w:p>
    <w:p w:rsidR="00E2208F" w:rsidRDefault="005E4EE2">
      <w:pPr>
        <w:widowControl w:val="0"/>
        <w:jc w:val="center"/>
      </w:pPr>
      <w:r>
        <w:t>118th Session, 2009-2010</w:t>
      </w:r>
    </w:p>
    <w:p w:rsidR="00E2208F" w:rsidRDefault="00E2208F">
      <w:pPr>
        <w:widowControl w:val="0"/>
        <w:jc w:val="left"/>
      </w:pPr>
    </w:p>
    <w:p w:rsidR="00E2208F" w:rsidRDefault="005E4EE2">
      <w:pPr>
        <w:widowControl w:val="0"/>
        <w:jc w:val="left"/>
        <w:rPr>
          <w:b/>
        </w:rPr>
      </w:pPr>
      <w:r>
        <w:rPr>
          <w:b/>
        </w:rPr>
        <w:t>H. 3136</w:t>
      </w:r>
    </w:p>
    <w:p w:rsidR="00E2208F" w:rsidRDefault="00E2208F">
      <w:pPr>
        <w:widowControl w:val="0"/>
        <w:jc w:val="left"/>
        <w:rPr>
          <w:b/>
        </w:rPr>
      </w:pPr>
    </w:p>
    <w:p w:rsidR="00E2208F" w:rsidRDefault="005E4EE2">
      <w:pPr>
        <w:widowControl w:val="0"/>
        <w:jc w:val="left"/>
      </w:pPr>
      <w:r>
        <w:rPr>
          <w:b/>
        </w:rPr>
        <w:t>STATUS INFORMATION</w:t>
      </w:r>
    </w:p>
    <w:p w:rsidR="00E2208F" w:rsidRDefault="00E2208F">
      <w:pPr>
        <w:widowControl w:val="0"/>
        <w:jc w:val="left"/>
      </w:pPr>
    </w:p>
    <w:p w:rsidR="00E2208F" w:rsidRDefault="005E4EE2">
      <w:pPr>
        <w:widowControl w:val="0"/>
        <w:jc w:val="left"/>
      </w:pPr>
      <w:r>
        <w:t>General Bill</w:t>
      </w:r>
    </w:p>
    <w:p w:rsidR="00E2208F" w:rsidRDefault="005E4EE2">
      <w:pPr>
        <w:widowControl w:val="0"/>
        <w:jc w:val="left"/>
      </w:pPr>
      <w:r>
        <w:t>Sponsors: Reps. Harrison and G.M. Smith</w:t>
      </w:r>
    </w:p>
    <w:p w:rsidR="00E2208F" w:rsidRDefault="005E4EE2">
      <w:pPr>
        <w:widowControl w:val="0"/>
        <w:jc w:val="left"/>
      </w:pPr>
      <w:r>
        <w:t>Document Path: l:\council\bills\bbm\9067cm09.docx</w:t>
      </w:r>
    </w:p>
    <w:p w:rsidR="00E2208F" w:rsidRDefault="00E2208F">
      <w:pPr>
        <w:widowControl w:val="0"/>
        <w:jc w:val="left"/>
      </w:pPr>
    </w:p>
    <w:p w:rsidR="00E2208F" w:rsidRDefault="005E4EE2">
      <w:pPr>
        <w:widowControl w:val="0"/>
        <w:jc w:val="left"/>
      </w:pPr>
      <w:r>
        <w:t>Introduced in the House on January 13, 2009</w:t>
      </w:r>
    </w:p>
    <w:p w:rsidR="00E2208F" w:rsidRDefault="005E4EE2">
      <w:pPr>
        <w:widowControl w:val="0"/>
        <w:jc w:val="left"/>
      </w:pPr>
      <w:r>
        <w:t xml:space="preserve">Currently residing in the House Committee on </w:t>
      </w:r>
      <w:r>
        <w:rPr>
          <w:b/>
        </w:rPr>
        <w:t>Judiciary</w:t>
      </w:r>
    </w:p>
    <w:p w:rsidR="00E2208F" w:rsidRDefault="00E2208F">
      <w:pPr>
        <w:widowControl w:val="0"/>
        <w:jc w:val="left"/>
      </w:pPr>
    </w:p>
    <w:p w:rsidR="00E2208F" w:rsidRDefault="005E4EE2">
      <w:pPr>
        <w:widowControl w:val="0"/>
        <w:jc w:val="left"/>
      </w:pPr>
      <w:r>
        <w:t>Summary: Officer of motor vehicle hearings</w:t>
      </w:r>
    </w:p>
    <w:p w:rsidR="00E2208F" w:rsidRDefault="00E2208F">
      <w:pPr>
        <w:widowControl w:val="0"/>
        <w:jc w:val="left"/>
      </w:pPr>
    </w:p>
    <w:p w:rsidR="00E2208F" w:rsidRDefault="00E2208F">
      <w:pPr>
        <w:widowControl w:val="0"/>
        <w:jc w:val="left"/>
      </w:pPr>
    </w:p>
    <w:p w:rsidR="00E2208F" w:rsidRDefault="005E4EE2">
      <w:pPr>
        <w:widowControl w:val="0"/>
        <w:tabs>
          <w:tab w:val="center" w:pos="590"/>
          <w:tab w:val="center" w:pos="1440"/>
          <w:tab w:val="left" w:pos="1872"/>
          <w:tab w:val="left" w:pos="9187"/>
        </w:tabs>
        <w:jc w:val="left"/>
      </w:pPr>
      <w:r>
        <w:rPr>
          <w:b/>
        </w:rPr>
        <w:t>HISTORY OF LEGISLATIVE ACTIONS</w:t>
      </w:r>
    </w:p>
    <w:p w:rsidR="00E2208F" w:rsidRDefault="00E2208F">
      <w:pPr>
        <w:widowControl w:val="0"/>
        <w:tabs>
          <w:tab w:val="center" w:pos="590"/>
          <w:tab w:val="center" w:pos="1440"/>
          <w:tab w:val="left" w:pos="1872"/>
          <w:tab w:val="left" w:pos="9187"/>
        </w:tabs>
        <w:jc w:val="left"/>
      </w:pPr>
    </w:p>
    <w:p w:rsidR="00E2208F" w:rsidRDefault="005E4E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2208F" w:rsidRDefault="005E4EE2">
      <w:pPr>
        <w:widowControl w:val="0"/>
        <w:tabs>
          <w:tab w:val="right" w:pos="1008"/>
          <w:tab w:val="left" w:pos="1152"/>
          <w:tab w:val="left" w:pos="1872"/>
          <w:tab w:val="left" w:pos="9187"/>
        </w:tabs>
        <w:ind w:left="2088" w:hanging="2088"/>
        <w:jc w:val="left"/>
      </w:pPr>
      <w:r>
        <w:tab/>
        <w:t>12/16/2008</w:t>
      </w:r>
      <w:r>
        <w:tab/>
        <w:t>House</w:t>
      </w:r>
      <w:r>
        <w:tab/>
        <w:t>Prefiled</w:t>
      </w:r>
    </w:p>
    <w:p w:rsidR="00E2208F" w:rsidRDefault="005E4EE2">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E2208F" w:rsidRDefault="005E4EE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F6EBD">
          <w:rPr>
            <w:rStyle w:val="Hyperlink"/>
          </w:rPr>
          <w:t>HJ</w:t>
        </w:r>
      </w:hyperlink>
      <w:r>
        <w:noBreakHyphen/>
        <w:t>61</w:t>
      </w:r>
    </w:p>
    <w:p w:rsidR="00E2208F" w:rsidRDefault="005E4EE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F6EBD">
          <w:rPr>
            <w:rStyle w:val="Hyperlink"/>
          </w:rPr>
          <w:t>HJ</w:t>
        </w:r>
      </w:hyperlink>
      <w:r>
        <w:noBreakHyphen/>
        <w:t>62</w:t>
      </w:r>
    </w:p>
    <w:p w:rsidR="00E2208F" w:rsidRDefault="00E2208F">
      <w:pPr>
        <w:widowControl w:val="0"/>
        <w:tabs>
          <w:tab w:val="right" w:pos="1008"/>
          <w:tab w:val="left" w:pos="1152"/>
          <w:tab w:val="left" w:pos="1872"/>
          <w:tab w:val="left" w:pos="9187"/>
        </w:tabs>
        <w:ind w:left="2088" w:hanging="2088"/>
        <w:jc w:val="left"/>
      </w:pPr>
    </w:p>
    <w:p w:rsidR="00E2208F" w:rsidRDefault="00E2208F">
      <w:pPr>
        <w:widowControl w:val="0"/>
        <w:tabs>
          <w:tab w:val="right" w:pos="1008"/>
          <w:tab w:val="left" w:pos="1152"/>
          <w:tab w:val="left" w:pos="1872"/>
          <w:tab w:val="left" w:pos="9187"/>
        </w:tabs>
        <w:ind w:left="2088" w:hanging="2088"/>
        <w:jc w:val="left"/>
      </w:pPr>
    </w:p>
    <w:p w:rsidR="00E2208F" w:rsidRDefault="005E4EE2">
      <w:pPr>
        <w:widowControl w:val="0"/>
        <w:jc w:val="left"/>
      </w:pPr>
      <w:r>
        <w:rPr>
          <w:b/>
        </w:rPr>
        <w:t>VERSIONS OF THIS BILL</w:t>
      </w:r>
    </w:p>
    <w:p w:rsidR="00E2208F" w:rsidRDefault="00E2208F">
      <w:pPr>
        <w:widowControl w:val="0"/>
        <w:jc w:val="left"/>
      </w:pPr>
    </w:p>
    <w:p w:rsidR="00E2208F" w:rsidRDefault="002557DA">
      <w:pPr>
        <w:widowControl w:val="0"/>
        <w:jc w:val="left"/>
      </w:pPr>
      <w:hyperlink r:id="rId9" w:history="1">
        <w:r w:rsidR="005E4EE2">
          <w:rPr>
            <w:rStyle w:val="Hyperlink"/>
          </w:rPr>
          <w:t>12/16/2008</w:t>
        </w:r>
      </w:hyperlink>
    </w:p>
    <w:p w:rsidR="00E2208F" w:rsidRDefault="00E2208F"/>
    <w:p w:rsidR="00E2208F" w:rsidRDefault="00E2208F">
      <w:pPr>
        <w:sectPr w:rsidR="00E2208F">
          <w:pgSz w:w="12240" w:h="15840" w:code="1"/>
          <w:pgMar w:top="1080" w:right="1440" w:bottom="1080" w:left="1440" w:header="720" w:footer="720" w:gutter="0"/>
          <w:cols w:space="720"/>
          <w:noEndnote/>
          <w:docGrid w:linePitch="360"/>
        </w:sectPr>
      </w:pPr>
    </w:p>
    <w:p w:rsidR="00E2208F" w:rsidRDefault="00E2208F">
      <w:pPr>
        <w:pStyle w:val="BillDots"/>
      </w:pPr>
    </w:p>
    <w:p w:rsidR="00E2208F" w:rsidRDefault="00E2208F">
      <w:pPr>
        <w:pStyle w:val="Numbersforbill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286, AS AMENDED, CODE OF LAWS OF SOUTH CAROLINA, 1976, RELATING TO THE SUSPENSION OF A DRIVER’S LICENSE OR PERMIT, OR THE DENIAL OF THE ISSUANCE OF A LICENSE OR A PERMIT TO A PERSON UNDER THE AGE OF TWENTY</w:t>
      </w:r>
      <w:r>
        <w:noBreakHyphen/>
        <w:t>ONE WHO HAS OPERATED A MOTOR VEHICLE WHILE UNDER THE INFLUENCE OF ALCOHOL, SO AS TO DELETE THE TERM “ADMINISTRATIVE HEARING” AND REPLACE IT WITH THE TERM “CONTESTED CASE HEARING”, AND TO PROVIDE THAT A CONTESTED CASE HEARING MUST BE CONDUCTED BEFORE THE OFFICE OF MOTOR VEHICLE HEARINGS PURSUANT TO ITS RULES OF PROCEDURE; TO AMEND SECTION 56</w:t>
      </w:r>
      <w:r>
        <w:noBreakHyphen/>
        <w:t>5</w:t>
      </w:r>
      <w:r>
        <w:noBreakHyphen/>
        <w:t>2942, AS AMENDED, RELATING TO THE IMMOBILIZATION OF A MOTOR VEHICLE OWNED BY A PERSON WHO HAS BEEN CONVICTED OF DRIVING UNDER THE INFLUENCE OF ALCOHOL OR ANOTHER ILLEGAL SUBSTANCE, SO AS TO DELETE THE PROVISION THAT ALLOWS THE DEPARTMENT OF MOTOR VEHICLES TO CONDUCT A HEARING AND RECEIVE TESTIMONY REGARDING THE VERACITY OF CERTAIN AFFIDAVITS IT RECEIVES REGARDING THE RELEASE OF AN IMMOBILIZED VEHICLE, PROVIDE THAT THE DEPARTMENT MAY ISSUE A DETERMINATION PERMITTING OR DENYING THE RELEASE OF AN IMMOBILIZED VEHICLE BASED ON CERTAIN AFFIDAVITS, AND TO REVISE THE PROCEDURE TO OBTAIN RELIEF FROM A DEPARTMENTAL DETERMINATION THAT IMMOBILIZES A VEHICLE OR DENIES THE RELEASE OF A VEHICLE; AND TO AMEND SECTION 56</w:t>
      </w:r>
      <w:r>
        <w:noBreakHyphen/>
        <w:t>5</w:t>
      </w:r>
      <w:r>
        <w:noBreakHyphen/>
        <w:t xml:space="preserve">2951, AS AMENDED, RELATING TO THE SUSPENSION OF A PERSON’S PRIVILEGE TO OPERATE A MOTOR VEHICLE, SO AS TO DELETE THE TERM </w:t>
      </w:r>
      <w:r>
        <w:lastRenderedPageBreak/>
        <w:t>“ADMINISTRATIVE HEARING” AND REPLACE IT WITH THE TERM “CONTESTED CASE HEARING”, TO DELETE THE TERM “DEPARTMENT OF MOTOR VEHICLES” AND REPLACE IT WITH THE TERM “OFFICE OF MOTOR VEHICLE HEARINGS” AND TO PROVIDE THAT A CONTESTED CASE HEARING MUST BE CONDUCTED BEFORE THE OFFICE OF MOTOR VEHICLE HEARINGS.</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SECTION</w:t>
      </w:r>
      <w:r>
        <w:tab/>
        <w:t>1.</w:t>
      </w:r>
      <w:r>
        <w:tab/>
      </w:r>
      <w:r>
        <w:rPr>
          <w:rFonts w:eastAsiaTheme="minorHAnsi"/>
          <w:color w:val="000000"/>
          <w:szCs w:val="22"/>
        </w:rPr>
        <w:t>Section 56</w:t>
      </w:r>
      <w:r>
        <w:rPr>
          <w:rFonts w:eastAsiaTheme="minorHAnsi"/>
          <w:color w:val="000000"/>
          <w:szCs w:val="22"/>
        </w:rPr>
        <w:noBreakHyphen/>
        <w:t>1</w:t>
      </w:r>
      <w:r>
        <w:rPr>
          <w:rFonts w:eastAsiaTheme="minorHAnsi"/>
          <w:color w:val="000000"/>
          <w:szCs w:val="22"/>
        </w:rPr>
        <w:noBreakHyphen/>
        <w:t xml:space="preserve">286 (K) of the 1976 Code, as last amended by Act 201 of 2008, is further amended to read: </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“(K)</w:t>
      </w:r>
      <w:r>
        <w:rPr>
          <w:rFonts w:eastAsiaTheme="minorHAnsi"/>
          <w:color w:val="000000"/>
          <w:szCs w:val="22"/>
        </w:rPr>
        <w:tab/>
        <w:t xml:space="preserve">Within thirty days of the issuance of the notice of suspension the person may: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obtain a temporary alcohol license by filing with the department a form for this purpose.  A one</w:t>
      </w:r>
      <w:r>
        <w:rPr>
          <w:rFonts w:eastAsiaTheme="minorHAnsi"/>
          <w:color w:val="000000"/>
          <w:szCs w:val="22"/>
        </w:rPr>
        <w:noBreakHyphen/>
        <w:t>hundred</w:t>
      </w:r>
      <w:r>
        <w:rPr>
          <w:rFonts w:eastAsiaTheme="minorHAnsi"/>
          <w:color w:val="000000"/>
          <w:szCs w:val="22"/>
        </w:rPr>
        <w:noBreakHyphen/>
        <w:t>dollar fee must be assessed for obtaining a temporary alcohol license.  Twenty</w:t>
      </w:r>
      <w:r>
        <w:rPr>
          <w:rFonts w:eastAsiaTheme="minorHAnsi"/>
          <w:color w:val="000000"/>
          <w:szCs w:val="22"/>
        </w:rPr>
        <w:noBreakHyphen/>
        <w:t>five dollars of the fee must be retained by the Department of Public Safety for supplying and maintaining all necessary vehicle videotaping equipment.  The remaining seventy</w:t>
      </w:r>
      <w:r>
        <w:rPr>
          <w:rFonts w:eastAsiaTheme="minorHAnsi"/>
          <w:color w:val="000000"/>
          <w:szCs w:val="22"/>
        </w:rPr>
        <w:noBreakHyphen/>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 and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 pursuant to its rules of procedure</w:t>
      </w:r>
      <w:r>
        <w:rPr>
          <w:rFonts w:eastAsiaTheme="minorHAnsi"/>
          <w:color w:val="000000"/>
          <w:szCs w:val="22"/>
        </w:rPr>
        <w:t xml:space="preserv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if: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the suspension is upheld, the person must enroll in an Alcohol and Drug Safety Action Program and his driver’s license, permit, or nonresident operating privilege must be suspended or the person must be denied the issuance of a license or permit for the remainder of the suspension periods provided for in subsections (F) and (G); or</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 xml:space="preserve">the suspension is overturned, the person must have his driver’s license, permit, or nonresident operating privilege reinstated.” </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2.</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286(M) of the 1976 Code, as last amended by Act 201 of 2008, is further amended to read:</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“(M)</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he shall have waived his right to the hearing and his suspension must not be stayed but shall continue for the periods provided for in subsections (F) and (G).”</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3.</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286(N) of the 1976 Code, as last amended by Act 201 of 2008, is further amended to read:</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“(N)</w:t>
      </w:r>
      <w:r>
        <w:rPr>
          <w:rFonts w:eastAsiaTheme="minorHAnsi"/>
          <w:color w:val="000000"/>
          <w:szCs w:val="22"/>
        </w:rPr>
        <w:tab/>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within thirty days of the issuance of the notice of suspension, he must enroll in an Alcohol and Drug Safety Action Program, and he waives his right to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and the suspension continues for the periods provided for in subsections (F) and (G).”</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4.</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286(O) of the 1976 Code, as last amended by Act 201 of 2008, is further amended to read:</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“(O)</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must be held after the request for the hearing is received by the </w:t>
      </w:r>
      <w:r>
        <w:rPr>
          <w:rFonts w:eastAsiaTheme="minorHAnsi"/>
          <w:strike/>
          <w:color w:val="000000"/>
          <w:szCs w:val="22"/>
        </w:rPr>
        <w:t>Division</w:t>
      </w:r>
      <w:r>
        <w:rPr>
          <w:rFonts w:eastAsiaTheme="minorHAnsi"/>
          <w:color w:val="000000"/>
          <w:szCs w:val="22"/>
        </w:rPr>
        <w:t xml:space="preserve"> </w:t>
      </w:r>
      <w:r>
        <w:rPr>
          <w:rFonts w:eastAsiaTheme="minorHAnsi"/>
          <w:color w:val="000000"/>
          <w:szCs w:val="22"/>
          <w:u w:val="single"/>
        </w:rPr>
        <w:t>Office</w:t>
      </w:r>
      <w:r>
        <w:rPr>
          <w:rFonts w:eastAsiaTheme="minorHAnsi"/>
          <w:color w:val="000000"/>
          <w:szCs w:val="22"/>
        </w:rPr>
        <w:t xml:space="preserve"> of Motor Vehicle Hearings.  The scope of the hearing is limited to whether the person: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 xml:space="preserve">was lawfully arrested or detained;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was given a written copy of and verbally informed of the rights enumerated in subsection (I);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 xml:space="preserve">refused to submit to a test pursuant to this section; or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 xml:space="preserve">consented to taking a test pursuant to this section, and the: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reported alcohol concentration at the time of testing was two one</w:t>
      </w:r>
      <w:r>
        <w:rPr>
          <w:rFonts w:eastAsiaTheme="minorHAnsi"/>
          <w:color w:val="000000"/>
          <w:szCs w:val="22"/>
        </w:rPr>
        <w:noBreakHyphen/>
        <w:t xml:space="preserve">hundredths of one percent or more;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 xml:space="preserve">individual who administered the test or took samples was qualified pursuant to this section;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 xml:space="preserve">test administered and samples taken were conducted pursuant to this section; and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(d)</w:t>
      </w:r>
      <w:r>
        <w:rPr>
          <w:rFonts w:eastAsiaTheme="minorHAnsi"/>
          <w:color w:val="000000"/>
          <w:szCs w:val="22"/>
        </w:rPr>
        <w:tab/>
        <w:t>the machine was operating properly.</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Nothing in this section prohibits the introduction of evidence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on the issue of the accuracy of the breath test result.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5.</w:t>
      </w: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 xml:space="preserve">2942(G) of the 1976 Code, as last amended by Act 201 of 2008, is further amended to read: </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“(G)</w:t>
      </w:r>
      <w:r>
        <w:rPr>
          <w:rFonts w:eastAsiaTheme="minorHAnsi"/>
          <w:color w:val="000000"/>
          <w:szCs w:val="22"/>
        </w:rPr>
        <w:tab/>
        <w:t xml:space="preserve">The department may </w:t>
      </w:r>
      <w:r>
        <w:rPr>
          <w:rFonts w:eastAsiaTheme="minorHAnsi"/>
          <w:strike/>
          <w:color w:val="000000"/>
          <w:szCs w:val="22"/>
        </w:rPr>
        <w:t>conduct a hearing and receive testimony regarding the veracity of an affidavit submitted pursuant to subsection (F) or</w:t>
      </w:r>
      <w:r>
        <w:rPr>
          <w:rFonts w:eastAsiaTheme="minorHAnsi"/>
          <w:color w:val="000000"/>
          <w:szCs w:val="22"/>
        </w:rPr>
        <w:t xml:space="preserve"> issue </w:t>
      </w:r>
      <w:r>
        <w:rPr>
          <w:rFonts w:eastAsiaTheme="minorHAnsi"/>
          <w:strike/>
          <w:color w:val="000000"/>
          <w:szCs w:val="22"/>
        </w:rPr>
        <w:t>an agency decision</w:t>
      </w:r>
      <w:r>
        <w:rPr>
          <w:rFonts w:eastAsiaTheme="minorHAnsi"/>
          <w:color w:val="000000"/>
          <w:szCs w:val="22"/>
        </w:rPr>
        <w:t xml:space="preserve"> </w:t>
      </w:r>
      <w:r>
        <w:rPr>
          <w:rFonts w:eastAsiaTheme="minorHAnsi"/>
          <w:color w:val="000000"/>
          <w:szCs w:val="22"/>
          <w:u w:val="single"/>
        </w:rPr>
        <w:t>a determination</w:t>
      </w:r>
      <w:r>
        <w:rPr>
          <w:rFonts w:eastAsiaTheme="minorHAnsi"/>
          <w:color w:val="000000"/>
          <w:szCs w:val="22"/>
        </w:rPr>
        <w:t xml:space="preserve"> </w:t>
      </w:r>
      <w:r>
        <w:rPr>
          <w:rFonts w:eastAsiaTheme="minorHAnsi"/>
          <w:strike/>
          <w:color w:val="000000"/>
          <w:szCs w:val="22"/>
        </w:rPr>
        <w:t>to permit</w:t>
      </w:r>
      <w:r>
        <w:rPr>
          <w:rFonts w:eastAsiaTheme="minorHAnsi"/>
          <w:color w:val="000000"/>
          <w:szCs w:val="22"/>
        </w:rPr>
        <w:t xml:space="preserve"> </w:t>
      </w:r>
      <w:r>
        <w:rPr>
          <w:rFonts w:eastAsiaTheme="minorHAnsi"/>
          <w:color w:val="000000"/>
          <w:szCs w:val="22"/>
          <w:u w:val="single"/>
        </w:rPr>
        <w:t>permitting</w:t>
      </w:r>
      <w:r>
        <w:rPr>
          <w:rFonts w:eastAsiaTheme="minorHAnsi"/>
          <w:color w:val="000000"/>
          <w:szCs w:val="22"/>
        </w:rPr>
        <w:t xml:space="preserve"> or </w:t>
      </w:r>
      <w:r>
        <w:rPr>
          <w:rFonts w:eastAsiaTheme="minorHAnsi"/>
          <w:strike/>
          <w:color w:val="000000"/>
          <w:szCs w:val="22"/>
        </w:rPr>
        <w:t>deny</w:t>
      </w:r>
      <w:r>
        <w:rPr>
          <w:rFonts w:eastAsiaTheme="minorHAnsi"/>
          <w:color w:val="000000"/>
          <w:szCs w:val="22"/>
        </w:rPr>
        <w:t xml:space="preserve"> </w:t>
      </w:r>
      <w:r>
        <w:rPr>
          <w:rFonts w:eastAsiaTheme="minorHAnsi"/>
          <w:color w:val="000000"/>
          <w:szCs w:val="22"/>
          <w:u w:val="single"/>
        </w:rPr>
        <w:t>denying</w:t>
      </w:r>
      <w:r>
        <w:rPr>
          <w:rFonts w:eastAsiaTheme="minorHAnsi"/>
          <w:color w:val="000000"/>
          <w:szCs w:val="22"/>
        </w:rPr>
        <w:t xml:space="preserve"> the release of the vehicle based on the affidavit </w:t>
      </w:r>
      <w:r>
        <w:rPr>
          <w:rFonts w:eastAsiaTheme="minorHAnsi"/>
          <w:color w:val="000000"/>
          <w:szCs w:val="22"/>
          <w:u w:val="single"/>
        </w:rPr>
        <w:t>submitted pursuant to subsection (F)</w:t>
      </w:r>
      <w:r>
        <w:rPr>
          <w:rFonts w:eastAsiaTheme="minorHAnsi"/>
          <w:color w:val="000000"/>
          <w:szCs w:val="22"/>
        </w:rPr>
        <w:t xml:space="preserve">. A person may seek relief </w:t>
      </w:r>
      <w:r>
        <w:rPr>
          <w:rFonts w:eastAsiaTheme="minorHAnsi"/>
          <w:strike/>
          <w:color w:val="000000"/>
          <w:szCs w:val="22"/>
        </w:rPr>
        <w:t>pursuant to the provisions of the Administrative Procedures Act</w:t>
      </w:r>
      <w:r>
        <w:rPr>
          <w:rFonts w:eastAsiaTheme="minorHAnsi"/>
          <w:color w:val="000000"/>
          <w:szCs w:val="22"/>
        </w:rPr>
        <w:t xml:space="preserve"> from </w:t>
      </w:r>
      <w:r>
        <w:rPr>
          <w:rFonts w:eastAsiaTheme="minorHAnsi"/>
          <w:strike/>
          <w:color w:val="000000"/>
          <w:szCs w:val="22"/>
        </w:rPr>
        <w:t>an agency action</w:t>
      </w:r>
      <w:r>
        <w:rPr>
          <w:rFonts w:eastAsiaTheme="minorHAnsi"/>
          <w:color w:val="000000"/>
          <w:szCs w:val="22"/>
        </w:rPr>
        <w:t xml:space="preserve"> </w:t>
      </w:r>
      <w:r>
        <w:rPr>
          <w:rFonts w:eastAsiaTheme="minorHAnsi"/>
          <w:color w:val="000000"/>
          <w:szCs w:val="22"/>
          <w:u w:val="single"/>
        </w:rPr>
        <w:t>a department determination</w:t>
      </w:r>
      <w:r>
        <w:rPr>
          <w:rFonts w:eastAsiaTheme="minorHAnsi"/>
          <w:color w:val="000000"/>
          <w:szCs w:val="22"/>
        </w:rPr>
        <w:t xml:space="preserve"> immobilizing a vehicle or denying the release of the vehicle </w:t>
      </w:r>
      <w:r>
        <w:rPr>
          <w:rFonts w:eastAsiaTheme="minorHAnsi"/>
          <w:color w:val="000000"/>
          <w:szCs w:val="22"/>
          <w:u w:val="single"/>
        </w:rPr>
        <w:t xml:space="preserve"> by filing a request for a contested case hearing with the Office of Motor Vehicle Hearings pursuant to the Administrative Procedures Act and the rules of procedure for the Office of Motor Vehicle Hearings</w:t>
      </w:r>
      <w:r>
        <w:rPr>
          <w:rFonts w:eastAsiaTheme="minorHAnsi"/>
          <w:color w:val="000000"/>
          <w:szCs w:val="22"/>
        </w:rPr>
        <w:t>.”</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6.</w:t>
      </w: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2951 of the 1976 Code, as last amended by Act 201 of 2008, is further amended to read:</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2951.</w:t>
      </w:r>
      <w:r>
        <w:rPr>
          <w:rFonts w:eastAsiaTheme="minorHAnsi"/>
          <w:color w:val="000000"/>
          <w:szCs w:val="22"/>
        </w:rPr>
        <w:tab/>
        <w:t>(A)</w:t>
      </w:r>
      <w:r>
        <w:rPr>
          <w:rFonts w:eastAsiaTheme="minorHAnsi"/>
          <w:color w:val="000000"/>
          <w:szCs w:val="22"/>
        </w:rPr>
        <w:tab/>
        <w:t>The Department of Motor Vehicles must suspend the driver’s license, permit, or nonresident operating privilege of or deny the issuance of a license or permit to a person who drives a motor vehicle and refuses to submit to a test provided for in Section 56</w:t>
      </w:r>
      <w:r>
        <w:rPr>
          <w:rFonts w:eastAsiaTheme="minorHAnsi"/>
          <w:color w:val="000000"/>
          <w:szCs w:val="22"/>
        </w:rPr>
        <w:noBreakHyphen/>
        <w:t>5</w:t>
      </w:r>
      <w:r>
        <w:rPr>
          <w:rFonts w:eastAsiaTheme="minorHAnsi"/>
          <w:color w:val="000000"/>
          <w:szCs w:val="22"/>
        </w:rPr>
        <w:noBreakHyphen/>
        <w:t>2950 or has an alcohol concentration of fifteen one</w:t>
      </w:r>
      <w:r>
        <w:rPr>
          <w:rFonts w:eastAsiaTheme="minorHAnsi"/>
          <w:color w:val="000000"/>
          <w:szCs w:val="22"/>
        </w:rPr>
        <w:noBreakHyphen/>
        <w:t>hundredths of one percent or more.  The arresting officer must issue a notice of suspension which is effective beginning on the date of the alleged violation of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 xml:space="preserve">2945.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(B)</w:t>
      </w:r>
      <w:r>
        <w:rPr>
          <w:rFonts w:eastAsiaTheme="minorHAnsi"/>
          <w:color w:val="000000"/>
          <w:szCs w:val="22"/>
        </w:rPr>
        <w:tab/>
        <w:t xml:space="preserve">Within thirty days of the issuance of the notice of suspension, the person may: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4"/>
        </w:rPr>
        <w:t>(1)</w:t>
      </w:r>
      <w:r>
        <w:rPr>
          <w:rFonts w:eastAsiaTheme="minorHAnsi"/>
          <w:color w:val="000000"/>
          <w:szCs w:val="24"/>
        </w:rPr>
        <w:tab/>
        <w:t>obtain a temporary alcohol license by filing with the Department of Motor Vehicles a form for this purpose.  A one hundred dollar fee must be assessed for obtaining a temporary alcohol license.  Twenty</w:t>
      </w:r>
      <w:r>
        <w:rPr>
          <w:rFonts w:eastAsiaTheme="minorHAnsi"/>
          <w:color w:val="000000"/>
          <w:szCs w:val="24"/>
        </w:rPr>
        <w:noBreakHyphen/>
        <w:t>five dollars of the fee must be retained by the Department of Public Safety for supplying and maintaining all necessary vehicle videotaping equipment.  The remaining seventy</w:t>
      </w:r>
      <w:r>
        <w:rPr>
          <w:rFonts w:eastAsiaTheme="minorHAnsi"/>
          <w:color w:val="000000"/>
          <w:szCs w:val="24"/>
        </w:rPr>
        <w:noBreakHyphen/>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Pr>
          <w:rFonts w:eastAsiaTheme="minorHAnsi"/>
          <w:strike/>
          <w:color w:val="000000"/>
          <w:szCs w:val="24"/>
        </w:rPr>
        <w:t>administrative</w:t>
      </w:r>
      <w:r>
        <w:rPr>
          <w:rFonts w:eastAsiaTheme="minorHAnsi"/>
          <w:color w:val="000000"/>
          <w:szCs w:val="24"/>
          <w:u w:val="single"/>
        </w:rPr>
        <w:t xml:space="preserve"> contested case</w:t>
      </w:r>
      <w:r>
        <w:rPr>
          <w:rFonts w:eastAsiaTheme="minorHAnsi"/>
          <w:color w:val="000000"/>
          <w:szCs w:val="24"/>
        </w:rPr>
        <w:t xml:space="preserve"> hearing provided for in subsection (F) or the final decision or disposition of the matter.  If the suspension is upheld at the </w:t>
      </w:r>
      <w:r>
        <w:rPr>
          <w:rFonts w:eastAsiaTheme="minorHAnsi"/>
          <w:strike/>
          <w:color w:val="000000"/>
          <w:szCs w:val="24"/>
        </w:rPr>
        <w:t>administrative</w:t>
      </w:r>
      <w:r>
        <w:rPr>
          <w:rFonts w:eastAsiaTheme="minorHAnsi"/>
          <w:color w:val="000000"/>
          <w:szCs w:val="24"/>
        </w:rPr>
        <w:t xml:space="preserve"> </w:t>
      </w:r>
      <w:r>
        <w:rPr>
          <w:rFonts w:eastAsiaTheme="minorHAnsi"/>
          <w:color w:val="000000"/>
          <w:szCs w:val="24"/>
          <w:u w:val="single"/>
        </w:rPr>
        <w:t>contested case</w:t>
      </w:r>
      <w:r>
        <w:rPr>
          <w:rFonts w:eastAsiaTheme="minorHAnsi"/>
          <w:color w:val="000000"/>
          <w:szCs w:val="24"/>
        </w:rPr>
        <w:t xml:space="preserve"> hearing, the temporary alcohol license remains in effect until the </w:t>
      </w:r>
      <w:r>
        <w:rPr>
          <w:rFonts w:eastAsiaTheme="minorHAnsi"/>
          <w:strike/>
          <w:color w:val="000000"/>
          <w:szCs w:val="24"/>
        </w:rPr>
        <w:t>Department of Motor Vehicles</w:t>
      </w:r>
      <w:r>
        <w:rPr>
          <w:rFonts w:eastAsiaTheme="minorHAnsi"/>
          <w:color w:val="000000"/>
          <w:szCs w:val="24"/>
        </w:rPr>
        <w:t xml:space="preserve"> </w:t>
      </w:r>
      <w:r>
        <w:rPr>
          <w:rFonts w:eastAsiaTheme="minorHAnsi"/>
          <w:color w:val="000000"/>
          <w:szCs w:val="22"/>
          <w:u w:val="single"/>
        </w:rPr>
        <w:t>Office of Motor Vehicle Hearings</w:t>
      </w:r>
      <w:r>
        <w:rPr>
          <w:rFonts w:eastAsiaTheme="minorHAnsi"/>
          <w:color w:val="000000"/>
          <w:szCs w:val="22"/>
        </w:rPr>
        <w:t xml:space="preserve"> issues the hearing officer’s decision and </w:t>
      </w:r>
      <w:r>
        <w:rPr>
          <w:rFonts w:eastAsiaTheme="minorHAnsi"/>
          <w:color w:val="000000"/>
          <w:szCs w:val="22"/>
          <w:u w:val="single"/>
        </w:rPr>
        <w:t>the Department of Motor Vehicles</w:t>
      </w:r>
      <w:r>
        <w:rPr>
          <w:rFonts w:eastAsiaTheme="minorHAnsi"/>
          <w:color w:val="000000"/>
          <w:szCs w:val="22"/>
        </w:rPr>
        <w:t xml:space="preserve"> sends notice to the person that he is eligible to receive a special restricted license pursuant to subsection (H); and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 in accordance with its rules of procedure</w:t>
      </w:r>
      <w:r>
        <w:rPr>
          <w:rFonts w:eastAsiaTheme="minorHAnsi"/>
          <w:color w:val="000000"/>
          <w:szCs w:val="22"/>
        </w:rPr>
        <w:t xml:space="preserv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if: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Pr>
          <w:rFonts w:eastAsiaTheme="minorHAnsi"/>
          <w:color w:val="000000"/>
          <w:szCs w:val="22"/>
        </w:rPr>
        <w:noBreakHyphen/>
        <w:t>5</w:t>
      </w:r>
      <w:r>
        <w:rPr>
          <w:rFonts w:eastAsiaTheme="minorHAnsi"/>
          <w:color w:val="000000"/>
          <w:szCs w:val="22"/>
        </w:rPr>
        <w:noBreakHyphen/>
        <w:t xml:space="preserve">2990;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the suspension is overturned, the person must have his driver’s license, permit, or nonresident operating privilege reinstated.</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The provisions of this subsection do not affect the trial for a violation of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(C)</w:t>
      </w:r>
      <w:r>
        <w:rPr>
          <w:rFonts w:eastAsiaTheme="minorHAnsi"/>
          <w:color w:val="000000"/>
          <w:szCs w:val="22"/>
        </w:rPr>
        <w:tab/>
        <w:t xml:space="preserve">The period of suspension provided for in subsection (I) begins on the day the notice of suspension is issued, or at the expiration of any other suspensions, and continues until the person applies for a temporary alcohol license and requests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(D)</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 xml:space="preserve">hearing, he waives his right to the hearing, and his suspension must not be stayed but continues for the period provided for in subsection (I).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(E)</w:t>
      </w:r>
      <w:r>
        <w:rPr>
          <w:rFonts w:eastAsiaTheme="minorHAnsi"/>
          <w:color w:val="000000"/>
          <w:szCs w:val="22"/>
        </w:rPr>
        <w:tab/>
        <w:t xml:space="preserve">The notice of suspension must advise the person of his right to obtain a temporary alcohol driver’s license and to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w:t>
      </w:r>
      <w:r>
        <w:rPr>
          <w:rFonts w:eastAsiaTheme="minorHAnsi"/>
          <w:color w:val="000000"/>
          <w:szCs w:val="22"/>
        </w:rPr>
        <w:t xml:space="preserve">.  The notice of suspension also must advise the person that,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within thirty days of the issuance of the notice of suspension, he waives his right to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 xml:space="preserve">contested case </w:t>
      </w:r>
      <w:r>
        <w:rPr>
          <w:rFonts w:eastAsiaTheme="minorHAnsi"/>
          <w:color w:val="000000"/>
          <w:szCs w:val="22"/>
        </w:rPr>
        <w:t xml:space="preserve">hearing, and the suspension continues for the period provided for in subsection (I).  The notice of suspension must also advise the person that if the suspension is upheld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 xml:space="preserve">contested case </w:t>
      </w:r>
      <w:r>
        <w:rPr>
          <w:rFonts w:eastAsiaTheme="minorHAnsi"/>
          <w:color w:val="000000"/>
          <w:szCs w:val="22"/>
        </w:rPr>
        <w:t xml:space="preserve">hearing or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 xml:space="preserve">hearing, he must enroll in an Alcohol and Drug Safety Action Program.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(F)</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must be held after the request for the hearing is received by the </w:t>
      </w:r>
      <w:r>
        <w:rPr>
          <w:rFonts w:eastAsiaTheme="minorHAnsi"/>
          <w:strike/>
          <w:color w:val="000000"/>
          <w:szCs w:val="22"/>
        </w:rPr>
        <w:t>Division</w:t>
      </w:r>
      <w:r>
        <w:rPr>
          <w:rFonts w:eastAsiaTheme="minorHAnsi"/>
          <w:color w:val="000000"/>
          <w:szCs w:val="22"/>
        </w:rPr>
        <w:t xml:space="preserve"> </w:t>
      </w:r>
      <w:r>
        <w:rPr>
          <w:rFonts w:eastAsiaTheme="minorHAnsi"/>
          <w:color w:val="000000"/>
          <w:szCs w:val="22"/>
          <w:u w:val="single"/>
        </w:rPr>
        <w:t>Office</w:t>
      </w:r>
      <w:r>
        <w:rPr>
          <w:rFonts w:eastAsiaTheme="minorHAnsi"/>
          <w:color w:val="000000"/>
          <w:szCs w:val="22"/>
        </w:rPr>
        <w:t xml:space="preserve"> of Motor Vehicle Hearings.  The scope of the hearing is limited to whether the person: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 xml:space="preserve">was lawfully arrested or detained;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was given a written copy of and verbally informed of the rights enumerated in Section 56</w:t>
      </w:r>
      <w:r>
        <w:rPr>
          <w:rFonts w:eastAsiaTheme="minorHAnsi"/>
          <w:color w:val="000000"/>
          <w:szCs w:val="22"/>
        </w:rPr>
        <w:noBreakHyphen/>
        <w:t>5</w:t>
      </w:r>
      <w:r>
        <w:rPr>
          <w:rFonts w:eastAsiaTheme="minorHAnsi"/>
          <w:color w:val="000000"/>
          <w:szCs w:val="22"/>
        </w:rPr>
        <w:noBreakHyphen/>
        <w:t xml:space="preserve">2950;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refused to submit to a test pursuant to Section 56</w:t>
      </w:r>
      <w:r>
        <w:rPr>
          <w:rFonts w:eastAsiaTheme="minorHAnsi"/>
          <w:color w:val="000000"/>
          <w:szCs w:val="22"/>
        </w:rPr>
        <w:noBreakHyphen/>
        <w:t>5</w:t>
      </w:r>
      <w:r>
        <w:rPr>
          <w:rFonts w:eastAsiaTheme="minorHAnsi"/>
          <w:color w:val="000000"/>
          <w:szCs w:val="22"/>
        </w:rPr>
        <w:noBreakHyphen/>
        <w:t xml:space="preserve">2950; or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consented to taking a test pursuant to Section 56</w:t>
      </w:r>
      <w:r>
        <w:rPr>
          <w:rFonts w:eastAsiaTheme="minorHAnsi"/>
          <w:color w:val="000000"/>
          <w:szCs w:val="22"/>
        </w:rPr>
        <w:noBreakHyphen/>
        <w:t>5</w:t>
      </w:r>
      <w:r>
        <w:rPr>
          <w:rFonts w:eastAsiaTheme="minorHAnsi"/>
          <w:color w:val="000000"/>
          <w:szCs w:val="22"/>
        </w:rPr>
        <w:noBreakHyphen/>
        <w:t xml:space="preserve">2950, and the: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reported alcohol concentration at the time of testing was fifteen one</w:t>
      </w:r>
      <w:r>
        <w:rPr>
          <w:rFonts w:eastAsiaTheme="minorHAnsi"/>
          <w:color w:val="000000"/>
          <w:szCs w:val="22"/>
        </w:rPr>
        <w:noBreakHyphen/>
        <w:t xml:space="preserve">hundredths of one percent or more;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individual who administered the test or took samples was qualified pursuant to Section 56</w:t>
      </w:r>
      <w:r>
        <w:rPr>
          <w:rFonts w:eastAsiaTheme="minorHAnsi"/>
          <w:color w:val="000000"/>
          <w:szCs w:val="22"/>
        </w:rPr>
        <w:noBreakHyphen/>
        <w:t>5</w:t>
      </w:r>
      <w:r>
        <w:rPr>
          <w:rFonts w:eastAsiaTheme="minorHAnsi"/>
          <w:color w:val="000000"/>
          <w:szCs w:val="22"/>
        </w:rPr>
        <w:noBreakHyphen/>
        <w:t xml:space="preserve">2950;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tests administered and samples obtained were conducted pursuant to Section 56</w:t>
      </w:r>
      <w:r>
        <w:rPr>
          <w:rFonts w:eastAsiaTheme="minorHAnsi"/>
          <w:color w:val="000000"/>
          <w:szCs w:val="22"/>
        </w:rPr>
        <w:noBreakHyphen/>
        <w:t>5</w:t>
      </w:r>
      <w:r>
        <w:rPr>
          <w:rFonts w:eastAsiaTheme="minorHAnsi"/>
          <w:color w:val="000000"/>
          <w:szCs w:val="22"/>
        </w:rPr>
        <w:noBreakHyphen/>
        <w:t xml:space="preserve">2950; and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(d)</w:t>
      </w:r>
      <w:r>
        <w:rPr>
          <w:rFonts w:eastAsiaTheme="minorHAnsi"/>
          <w:color w:val="000000"/>
          <w:szCs w:val="22"/>
        </w:rPr>
        <w:tab/>
        <w:t xml:space="preserve">machine was working properly.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Nothing in this section prohibits the introduction of evidence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on the issue of the accuracy of the breath test result.</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(G)</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is </w:t>
      </w:r>
      <w:r>
        <w:rPr>
          <w:rFonts w:eastAsiaTheme="minorHAnsi"/>
          <w:strike/>
          <w:color w:val="000000"/>
          <w:szCs w:val="22"/>
        </w:rPr>
        <w:t>a contested case proceeding under</w:t>
      </w:r>
      <w:r>
        <w:rPr>
          <w:rFonts w:eastAsiaTheme="minorHAnsi"/>
          <w:color w:val="000000"/>
          <w:szCs w:val="22"/>
        </w:rPr>
        <w:t xml:space="preserve"> </w:t>
      </w:r>
      <w:r>
        <w:rPr>
          <w:rFonts w:eastAsiaTheme="minorHAnsi"/>
          <w:color w:val="000000"/>
          <w:szCs w:val="22"/>
          <w:u w:val="single"/>
        </w:rPr>
        <w:t>governed by</w:t>
      </w:r>
      <w:r>
        <w:rPr>
          <w:rFonts w:eastAsiaTheme="minorHAnsi"/>
          <w:color w:val="000000"/>
          <w:szCs w:val="22"/>
        </w:rPr>
        <w:t xml:space="preserve">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(H)(1)</w:t>
      </w:r>
      <w:r>
        <w:rPr>
          <w:rFonts w:eastAsiaTheme="minorHAnsi"/>
          <w:color w:val="000000"/>
          <w:szCs w:val="22"/>
        </w:rPr>
        <w:tab/>
        <w:t xml:space="preserve">If the suspension is upheld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the person must enroll in an Alcohol and Drug Safety Action Program pursuant to Section 56</w:t>
      </w:r>
      <w:r>
        <w:rPr>
          <w:rFonts w:eastAsiaTheme="minorHAnsi"/>
          <w:color w:val="000000"/>
          <w:szCs w:val="22"/>
        </w:rPr>
        <w:noBreakHyphen/>
        <w:t>5</w:t>
      </w:r>
      <w:r>
        <w:rPr>
          <w:rFonts w:eastAsiaTheme="minorHAnsi"/>
          <w:color w:val="000000"/>
          <w:szCs w:val="22"/>
        </w:rPr>
        <w:noBreakHyphen/>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Pr>
          <w:rFonts w:eastAsiaTheme="minorHAnsi"/>
          <w:color w:val="000000"/>
          <w:szCs w:val="22"/>
        </w:rPr>
        <w:noBreakHyphen/>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Pr>
          <w:rFonts w:eastAsiaTheme="minorHAnsi"/>
          <w:color w:val="000000"/>
          <w:szCs w:val="22"/>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Theme="minorHAnsi"/>
          <w:color w:val="000000"/>
          <w:szCs w:val="22"/>
        </w:rPr>
        <w:noBreakHyphen/>
        <w:t xml:space="preserve">ordered drug program.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Pr>
          <w:rFonts w:eastAsiaTheme="minorHAnsi"/>
          <w:color w:val="000000"/>
          <w:szCs w:val="22"/>
        </w:rPr>
        <w:noBreakHyphen/>
        <w:t xml:space="preserve">ordered drug program, or residence must be reported immediately to the department by the licensee.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Driving a motor vehicle outside the time limits and route imposed by a restricted license by the person issued that license is a violation of Section 56</w:t>
      </w:r>
      <w:r>
        <w:rPr>
          <w:rFonts w:eastAsiaTheme="minorHAnsi"/>
          <w:color w:val="000000"/>
          <w:szCs w:val="22"/>
        </w:rPr>
        <w:noBreakHyphen/>
        <w:t>1</w:t>
      </w:r>
      <w:r>
        <w:rPr>
          <w:rFonts w:eastAsiaTheme="minorHAnsi"/>
          <w:color w:val="000000"/>
          <w:szCs w:val="22"/>
        </w:rPr>
        <w:noBreakHyphen/>
        <w:t>460.</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(I)(1)</w:t>
      </w:r>
      <w:r>
        <w:rPr>
          <w:rFonts w:eastAsiaTheme="minorHAnsi"/>
          <w:color w:val="000000"/>
          <w:szCs w:val="22"/>
        </w:rPr>
        <w:tab/>
        <w:t>The period of a driver’s license, permit, or nonresident operating privilege suspension for, or denial of issuance of a license or permit to, an arrested person who has no previous convictions for violating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rPr>
          <w:rFonts w:eastAsiaTheme="minorHAnsi"/>
          <w:color w:val="000000"/>
          <w:szCs w:val="22"/>
        </w:rPr>
        <w:noBreakHyphen/>
        <w:t>5</w:t>
      </w:r>
      <w:r>
        <w:rPr>
          <w:rFonts w:eastAsiaTheme="minorHAnsi"/>
          <w:color w:val="000000"/>
          <w:szCs w:val="22"/>
        </w:rPr>
        <w:noBreakHyphen/>
        <w:t>2950 or 56</w:t>
      </w:r>
      <w:r>
        <w:rPr>
          <w:rFonts w:eastAsiaTheme="minorHAnsi"/>
          <w:color w:val="000000"/>
          <w:szCs w:val="22"/>
        </w:rPr>
        <w:noBreakHyphen/>
        <w:t>5</w:t>
      </w:r>
      <w:r>
        <w:rPr>
          <w:rFonts w:eastAsiaTheme="minorHAnsi"/>
          <w:color w:val="000000"/>
          <w:szCs w:val="22"/>
        </w:rPr>
        <w:noBreakHyphen/>
        <w:t xml:space="preserve">2951 within the ten years preceding a violation of this section is: </w:t>
      </w: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six months for a person who refuses to submit to a test pursuant to Section 56</w:t>
      </w:r>
      <w:r>
        <w:rPr>
          <w:rFonts w:eastAsiaTheme="minorHAnsi"/>
          <w:color w:val="000000"/>
          <w:szCs w:val="22"/>
        </w:rPr>
        <w:noBreakHyphen/>
        <w:t>5</w:t>
      </w:r>
      <w:r>
        <w:rPr>
          <w:rFonts w:eastAsiaTheme="minorHAnsi"/>
          <w:color w:val="000000"/>
          <w:szCs w:val="22"/>
        </w:rPr>
        <w:noBreakHyphen/>
        <w:t xml:space="preserve">2950; or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one month for a person who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The period of a driver’s license, permit, or nonresident operating privilege suspension for, or denial of issuance of a license or permit to, an arrested person who has been convicted previously for violating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rPr>
          <w:rFonts w:eastAsiaTheme="minorHAnsi"/>
          <w:color w:val="000000"/>
          <w:szCs w:val="22"/>
        </w:rPr>
        <w:noBreakHyphen/>
        <w:t>5</w:t>
      </w:r>
      <w:r>
        <w:rPr>
          <w:rFonts w:eastAsiaTheme="minorHAnsi"/>
          <w:color w:val="000000"/>
          <w:szCs w:val="22"/>
        </w:rPr>
        <w:noBreakHyphen/>
        <w:t>2950 or 56</w:t>
      </w:r>
      <w:r>
        <w:rPr>
          <w:rFonts w:eastAsiaTheme="minorHAnsi"/>
          <w:color w:val="000000"/>
          <w:szCs w:val="22"/>
        </w:rPr>
        <w:noBreakHyphen/>
        <w:t>5</w:t>
      </w:r>
      <w:r>
        <w:rPr>
          <w:rFonts w:eastAsiaTheme="minorHAnsi"/>
          <w:color w:val="000000"/>
          <w:szCs w:val="22"/>
        </w:rPr>
        <w:noBreakHyphen/>
        <w:t xml:space="preserve">2951 within the ten years preceding a violation of this section is: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for a second offense, nine months if he refuses to submit to a test pursuant to Section 56</w:t>
      </w:r>
      <w:r>
        <w:rPr>
          <w:rFonts w:eastAsiaTheme="minorHAnsi"/>
          <w:color w:val="000000"/>
          <w:szCs w:val="22"/>
        </w:rPr>
        <w:noBreakHyphen/>
        <w:t>5</w:t>
      </w:r>
      <w:r>
        <w:rPr>
          <w:rFonts w:eastAsiaTheme="minorHAnsi"/>
          <w:color w:val="000000"/>
          <w:szCs w:val="22"/>
        </w:rPr>
        <w:noBreakHyphen/>
        <w:t>2950 or two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 xml:space="preserve">hundredths of one percent or more;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for a third offense, twelve months if he refuses to submit to a test pursuant to Section 56</w:t>
      </w:r>
      <w:r>
        <w:rPr>
          <w:rFonts w:eastAsiaTheme="minorHAnsi"/>
          <w:color w:val="000000"/>
          <w:szCs w:val="22"/>
        </w:rPr>
        <w:noBreakHyphen/>
        <w:t>5</w:t>
      </w:r>
      <w:r>
        <w:rPr>
          <w:rFonts w:eastAsiaTheme="minorHAnsi"/>
          <w:color w:val="000000"/>
          <w:szCs w:val="22"/>
        </w:rPr>
        <w:noBreakHyphen/>
        <w:t>2950 or three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 and</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for a fourth or subsequent offense, fifteen months if he refuses to submit to a test pursuant to Section 56</w:t>
      </w:r>
      <w:r>
        <w:rPr>
          <w:rFonts w:eastAsiaTheme="minorHAnsi"/>
          <w:color w:val="000000"/>
          <w:szCs w:val="22"/>
        </w:rPr>
        <w:noBreakHyphen/>
        <w:t>5</w:t>
      </w:r>
      <w:r>
        <w:rPr>
          <w:rFonts w:eastAsiaTheme="minorHAnsi"/>
          <w:color w:val="000000"/>
          <w:szCs w:val="22"/>
        </w:rPr>
        <w:noBreakHyphen/>
        <w:t>2950 or four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(J)</w:t>
      </w:r>
      <w:r>
        <w:rPr>
          <w:rFonts w:eastAsiaTheme="minorHAnsi"/>
          <w:color w:val="000000"/>
          <w:szCs w:val="22"/>
        </w:rPr>
        <w:tab/>
        <w:t>A person’s driver’s license, permit, or nonresident operating privilege must be restored when the person’s period of suspension under subsection (I) has concluded, even if the person has not yet completed the Alcohol and Drug Safety Action Program in which he is enrolled.  After the person’s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person’s license must be suspended until the completion of the Alcohol and Drug Safety Action Program.  A person must be attending or have completed an Alcohol and Drug Safety Action Program pursuant to Section 56</w:t>
      </w:r>
      <w:r>
        <w:rPr>
          <w:rFonts w:eastAsiaTheme="minorHAnsi"/>
          <w:color w:val="000000"/>
          <w:szCs w:val="22"/>
        </w:rPr>
        <w:noBreakHyphen/>
        <w:t>5</w:t>
      </w:r>
      <w:r>
        <w:rPr>
          <w:rFonts w:eastAsiaTheme="minorHAnsi"/>
          <w:color w:val="000000"/>
          <w:szCs w:val="22"/>
        </w:rPr>
        <w:noBreakHyphen/>
        <w:t xml:space="preserve">2990 before his driving privilege can be restored at the conclusion of the suspension period.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(K)</w:t>
      </w:r>
      <w:r>
        <w:rPr>
          <w:rFonts w:eastAsiaTheme="minorHAnsi"/>
          <w:color w:val="000000"/>
          <w:szCs w:val="22"/>
        </w:rPr>
        <w:tab/>
        <w:t xml:space="preserve">When a nonresident’s privilege to drive a motor vehicle in this State has been suspended under the provisions of this section, the department must give written notice of the action taken to the motor vehicle administrator of the state of the person’ s residence and of any state in which he has a license or permit.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(L)</w:t>
      </w:r>
      <w:r>
        <w:rPr>
          <w:rFonts w:eastAsiaTheme="minorHAnsi"/>
          <w:color w:val="000000"/>
          <w:szCs w:val="22"/>
        </w:rPr>
        <w:tab/>
        <w:t>The department must not suspend the privilege to drive of a person under the age of twenty</w:t>
      </w:r>
      <w:r>
        <w:rPr>
          <w:rFonts w:eastAsiaTheme="minorHAnsi"/>
          <w:color w:val="000000"/>
          <w:szCs w:val="22"/>
        </w:rPr>
        <w:noBreakHyphen/>
        <w:t>one pursuant to Section 56</w:t>
      </w:r>
      <w:r>
        <w:rPr>
          <w:rFonts w:eastAsiaTheme="minorHAnsi"/>
          <w:color w:val="000000"/>
          <w:szCs w:val="22"/>
        </w:rPr>
        <w:noBreakHyphen/>
        <w:t>1</w:t>
      </w:r>
      <w:r>
        <w:rPr>
          <w:rFonts w:eastAsiaTheme="minorHAnsi"/>
          <w:color w:val="000000"/>
          <w:szCs w:val="22"/>
        </w:rPr>
        <w:noBreakHyphen/>
        <w:t xml:space="preserve">286 if the person’s privilege to drive has been suspended under this section arising from the same incident.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(M)</w:t>
      </w:r>
      <w:r>
        <w:rPr>
          <w:rFonts w:eastAsiaTheme="minorHAnsi"/>
          <w:color w:val="000000"/>
          <w:szCs w:val="22"/>
        </w:rPr>
        <w:tab/>
        <w:t xml:space="preserve">A person whose driver’s license or permit is suspended pursuant to this section is not required to file proof of financial responsibility.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(N)</w:t>
      </w:r>
      <w:r>
        <w:rPr>
          <w:rFonts w:eastAsiaTheme="minorHAnsi"/>
          <w:color w:val="000000"/>
          <w:szCs w:val="22"/>
        </w:rPr>
        <w:tab/>
        <w:t>An insurer may not increase premiums on, add surcharges to, or cancel the automobile insurance of a person charged with a violation of Section 56</w:t>
      </w:r>
      <w:r>
        <w:rPr>
          <w:rFonts w:eastAsiaTheme="minorHAnsi"/>
          <w:color w:val="000000"/>
          <w:szCs w:val="22"/>
        </w:rPr>
        <w:noBreakHyphen/>
        <w:t>1</w:t>
      </w:r>
      <w:r>
        <w:rPr>
          <w:rFonts w:eastAsiaTheme="minorHAnsi"/>
          <w:color w:val="000000"/>
          <w:szCs w:val="22"/>
        </w:rPr>
        <w:noBreakHyphen/>
        <w:t>286, 56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 xml:space="preserve">2945, or another law of this State or another state that prohibits a person from driving a motor vehicle while under the influence of alcohol or any other drug based solely on the violation unless he is convicted of the violation.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(O)</w:t>
      </w:r>
      <w:r>
        <w:rPr>
          <w:rFonts w:eastAsiaTheme="minorHAnsi"/>
          <w:color w:val="000000"/>
          <w:szCs w:val="22"/>
        </w:rPr>
        <w:tab/>
        <w:t xml:space="preserve">The department must administer the provisions of this section and must promulgate regulations necessary to carry out its provisions. </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olor w:val="000000"/>
          <w:szCs w:val="22"/>
        </w:rPr>
        <w:tab/>
        <w:t>(P)</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hearing within the thirty</w:t>
      </w:r>
      <w:r>
        <w:rPr>
          <w:rFonts w:eastAsiaTheme="minorHAnsi"/>
          <w:color w:val="000000"/>
          <w:szCs w:val="22"/>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Pr>
          <w:rFonts w:eastAsiaTheme="minorHAnsi"/>
          <w:color w:val="000000"/>
          <w:szCs w:val="22"/>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Pr>
          <w:rFonts w:eastAsiaTheme="minorHAnsi"/>
          <w:color w:val="000000"/>
          <w:szCs w:val="22"/>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Theme="minorHAnsi"/>
          <w:color w:val="000000"/>
          <w:szCs w:val="22"/>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Pr>
          <w:rFonts w:eastAsiaTheme="minorHAnsi"/>
          <w:color w:val="000000"/>
          <w:szCs w:val="22"/>
        </w:rPr>
        <w:noBreakHyphen/>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A restricted license is valid until the person successfully completes a certified Alcohol and Drug Safety Action Program, unless the person fails to complete or make satisfactory progress to complete the program.”</w:t>
      </w:r>
    </w:p>
    <w:p w:rsidR="00E2208F" w:rsidRDefault="00E2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szCs w:val="22"/>
        </w:rPr>
      </w:pP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SECTION</w:t>
      </w:r>
      <w:r>
        <w:rPr>
          <w:rFonts w:eastAsiaTheme="minorHAnsi"/>
          <w:color w:val="000000"/>
          <w:szCs w:val="22"/>
        </w:rPr>
        <w:tab/>
        <w:t>7.</w:t>
      </w:r>
      <w:r>
        <w:rPr>
          <w:rFonts w:eastAsiaTheme="minorHAnsi"/>
          <w:color w:val="000000"/>
          <w:szCs w:val="22"/>
        </w:rPr>
        <w:tab/>
        <w:t>This act takes effect upon approval by the Governor.</w:t>
      </w:r>
    </w:p>
    <w:p w:rsidR="00E2208F" w:rsidRDefault="005E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08F" w:rsidRDefault="00E2208F">
      <w:pPr>
        <w:suppressAutoHyphens/>
      </w:pPr>
    </w:p>
    <w:sectPr w:rsidR="00E2208F" w:rsidSect="00E220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08F" w:rsidRDefault="005E4EE2">
      <w:r>
        <w:separator/>
      </w:r>
    </w:p>
  </w:endnote>
  <w:endnote w:type="continuationSeparator" w:id="0">
    <w:p w:rsidR="00E2208F" w:rsidRDefault="005E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B0DFAA-9A84-461D-A959-14A79B94CB23}"/>
    <w:embedBold r:id="rId2" w:fontKey="{C45DDFD4-F4F6-479C-9F0F-07F0DB72F1E9}"/>
  </w:font>
  <w:font w:name="Calibri">
    <w:panose1 w:val="020F0502020204030204"/>
    <w:charset w:val="00"/>
    <w:family w:val="swiss"/>
    <w:pitch w:val="variable"/>
    <w:sig w:usb0="E10002FF" w:usb1="4000ACFF" w:usb2="00000009" w:usb3="00000000" w:csb0="0000019F" w:csb1="00000000"/>
    <w:embedRegular r:id="rId3" w:fontKey="{01ABFFF7-D3DC-4863-8713-B17CA6AF1BB6}"/>
  </w:font>
  <w:font w:name="Cambria">
    <w:panose1 w:val="02040503050406030204"/>
    <w:charset w:val="00"/>
    <w:family w:val="roman"/>
    <w:pitch w:val="variable"/>
    <w:sig w:usb0="E00002FF" w:usb1="400004FF" w:usb2="00000000" w:usb3="00000000" w:csb0="0000019F" w:csb1="00000000"/>
    <w:embedRegular r:id="rId4" w:fontKey="{FC52555B-8A8F-4AC8-8101-B117F502F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08F" w:rsidRDefault="005E4EE2">
    <w:pPr>
      <w:pStyle w:val="Footer"/>
      <w:tabs>
        <w:tab w:val="clear" w:pos="4680"/>
        <w:tab w:val="clear" w:pos="9360"/>
        <w:tab w:val="center" w:pos="2995"/>
      </w:tabs>
      <w:spacing w:before="120"/>
    </w:pPr>
    <w:r>
      <w:t>[3136]</w:t>
    </w:r>
    <w:r>
      <w:tab/>
    </w:r>
    <w:r w:rsidR="002557DA">
      <w:fldChar w:fldCharType="begin"/>
    </w:r>
    <w:r w:rsidR="002557DA">
      <w:instrText xml:space="preserve"> PAGE  \* MERGEFORMAT </w:instrText>
    </w:r>
    <w:r w:rsidR="002557DA">
      <w:fldChar w:fldCharType="separate"/>
    </w:r>
    <w:r w:rsidR="002557DA">
      <w:rPr>
        <w:noProof/>
      </w:rPr>
      <w:t>1</w:t>
    </w:r>
    <w:r w:rsidR="002557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08F" w:rsidRDefault="005E4EE2">
      <w:r>
        <w:separator/>
      </w:r>
    </w:p>
  </w:footnote>
  <w:footnote w:type="continuationSeparator" w:id="0">
    <w:p w:rsidR="00E2208F" w:rsidRDefault="005E4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67CM09"/>
    <w:docVar w:name="CoverBillType" w:val="b"/>
    <w:docVar w:name="docpath" w:val="L:\Council\bills\BBM\9067CM09.DOCX"/>
    <w:docVar w:name="dvBillNumber" w:val="3136"/>
    <w:docVar w:name="dvBillNumberPrefix" w:val="H. "/>
    <w:docVar w:name="dvOriginalBody" w:val="House"/>
    <w:docVar w:name="dvSteno" w:val="BBM"/>
    <w:docVar w:name="NameofBody" w:val="h"/>
    <w:docVar w:name="vgroup2" w:val="Council"/>
  </w:docVars>
  <w:rsids>
    <w:rsidRoot w:val="00E2208F"/>
    <w:rsid w:val="002557DA"/>
    <w:rsid w:val="00281289"/>
    <w:rsid w:val="005E4EE2"/>
    <w:rsid w:val="00931487"/>
    <w:rsid w:val="00AF6EBD"/>
    <w:rsid w:val="00B60245"/>
    <w:rsid w:val="00E22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67075C-8DFB-41C7-A635-4174CD055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220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08F"/>
    <w:rPr>
      <w:rFonts w:eastAsia="Times New Roman" w:cs="Times New Roman"/>
      <w:b/>
      <w:sz w:val="30"/>
      <w:szCs w:val="20"/>
    </w:rPr>
  </w:style>
  <w:style w:type="paragraph" w:styleId="Header">
    <w:name w:val="header"/>
    <w:basedOn w:val="Normal"/>
    <w:link w:val="HeaderChar"/>
    <w:uiPriority w:val="99"/>
    <w:semiHidden/>
    <w:unhideWhenUsed/>
    <w:rsid w:val="00E2208F"/>
    <w:pPr>
      <w:tabs>
        <w:tab w:val="center" w:pos="4320"/>
        <w:tab w:val="right" w:pos="8640"/>
      </w:tabs>
    </w:pPr>
  </w:style>
  <w:style w:type="character" w:customStyle="1" w:styleId="HeaderChar">
    <w:name w:val="Header Char"/>
    <w:basedOn w:val="DefaultParagraphFont"/>
    <w:link w:val="Header"/>
    <w:uiPriority w:val="99"/>
    <w:semiHidden/>
    <w:rsid w:val="00E2208F"/>
    <w:rPr>
      <w:rFonts w:eastAsia="Times New Roman" w:cs="Times New Roman"/>
      <w:szCs w:val="20"/>
    </w:rPr>
  </w:style>
  <w:style w:type="paragraph" w:styleId="Footer">
    <w:name w:val="footer"/>
    <w:basedOn w:val="Normal"/>
    <w:link w:val="FooterChar"/>
    <w:uiPriority w:val="99"/>
    <w:unhideWhenUsed/>
    <w:rsid w:val="00E2208F"/>
    <w:pPr>
      <w:tabs>
        <w:tab w:val="center" w:pos="4680"/>
        <w:tab w:val="right" w:pos="9360"/>
      </w:tabs>
    </w:pPr>
  </w:style>
  <w:style w:type="character" w:customStyle="1" w:styleId="FooterChar">
    <w:name w:val="Footer Char"/>
    <w:basedOn w:val="DefaultParagraphFont"/>
    <w:link w:val="Footer"/>
    <w:uiPriority w:val="99"/>
    <w:rsid w:val="00E2208F"/>
    <w:rPr>
      <w:rFonts w:eastAsia="Times New Roman" w:cs="Times New Roman"/>
      <w:szCs w:val="20"/>
    </w:rPr>
  </w:style>
  <w:style w:type="character" w:styleId="PageNumber">
    <w:name w:val="page number"/>
    <w:basedOn w:val="DefaultParagraphFont"/>
    <w:uiPriority w:val="99"/>
    <w:semiHidden/>
    <w:unhideWhenUsed/>
    <w:rsid w:val="00E2208F"/>
  </w:style>
  <w:style w:type="character" w:styleId="LineNumber">
    <w:name w:val="line number"/>
    <w:basedOn w:val="DefaultParagraphFont"/>
    <w:uiPriority w:val="99"/>
    <w:semiHidden/>
    <w:unhideWhenUsed/>
    <w:rsid w:val="00E2208F"/>
  </w:style>
  <w:style w:type="paragraph" w:customStyle="1" w:styleId="BillDots">
    <w:name w:val="Bill Dots"/>
    <w:basedOn w:val="Normal"/>
    <w:qFormat/>
    <w:rsid w:val="00E220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2208F"/>
    <w:pPr>
      <w:tabs>
        <w:tab w:val="right" w:pos="5904"/>
      </w:tabs>
    </w:pPr>
  </w:style>
  <w:style w:type="character" w:styleId="Strong">
    <w:name w:val="Strong"/>
    <w:basedOn w:val="DefaultParagraphFont"/>
    <w:uiPriority w:val="99"/>
    <w:qFormat/>
    <w:rsid w:val="00E2208F"/>
    <w:rPr>
      <w:b/>
      <w:bCs/>
    </w:rPr>
  </w:style>
  <w:style w:type="character" w:styleId="Hyperlink">
    <w:name w:val="Hyperlink"/>
    <w:basedOn w:val="DefaultParagraphFont"/>
    <w:uiPriority w:val="99"/>
    <w:unhideWhenUsed/>
    <w:rsid w:val="00E220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3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E9B04-8D97-4DA2-86AA-05ED6D163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3635</Words>
  <Characters>18618</Characters>
  <Application>Microsoft Office Word</Application>
  <DocSecurity>0</DocSecurity>
  <Lines>439</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3136: Officer of motor vehicle hearings - South Carolina Legislature Online</dc:title>
  <dc:subject/>
  <dc:creator>Brenda Melton</dc:creator>
  <cp:keywords/>
  <dc:description/>
  <cp:lastModifiedBy>N Cumfer</cp:lastModifiedBy>
  <cp:revision>12</cp:revision>
  <cp:lastPrinted>2008-12-15T21:54:00Z</cp:lastPrinted>
  <dcterms:created xsi:type="dcterms:W3CDTF">2008-12-16T23:10:00Z</dcterms:created>
  <dcterms:modified xsi:type="dcterms:W3CDTF">2014-11-24T15:21:00Z</dcterms:modified>
</cp:coreProperties>
</file>