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BB1" w:rsidRDefault="005C5F8F">
      <w:pPr>
        <w:widowControl w:val="0"/>
        <w:jc w:val="center"/>
        <w:rPr>
          <w:rFonts w:cs="Times New Roman"/>
        </w:rPr>
      </w:pPr>
      <w:bookmarkStart w:id="0" w:name="_GoBack"/>
      <w:bookmarkEnd w:id="0"/>
      <w:r>
        <w:rPr>
          <w:rFonts w:cs="Times New Roman"/>
          <w:b/>
        </w:rPr>
        <w:t>South Carolina General Assembly</w:t>
      </w:r>
    </w:p>
    <w:p w:rsidR="00217BB1" w:rsidRDefault="005C5F8F">
      <w:pPr>
        <w:widowControl w:val="0"/>
        <w:jc w:val="center"/>
        <w:rPr>
          <w:rFonts w:cs="Times New Roman"/>
        </w:rPr>
      </w:pPr>
      <w:r>
        <w:rPr>
          <w:rFonts w:cs="Times New Roman"/>
        </w:rPr>
        <w:t>118th Session, 2009-2010</w:t>
      </w:r>
    </w:p>
    <w:p w:rsidR="00217BB1" w:rsidRDefault="00217BB1">
      <w:pPr>
        <w:widowControl w:val="0"/>
        <w:jc w:val="left"/>
        <w:rPr>
          <w:rFonts w:cs="Times New Roman"/>
        </w:rPr>
      </w:pPr>
    </w:p>
    <w:p w:rsidR="00217BB1" w:rsidRDefault="005C5F8F">
      <w:pPr>
        <w:widowControl w:val="0"/>
        <w:jc w:val="left"/>
        <w:rPr>
          <w:rFonts w:cs="Times New Roman"/>
          <w:b/>
        </w:rPr>
      </w:pPr>
      <w:r>
        <w:rPr>
          <w:rFonts w:cs="Times New Roman"/>
          <w:b/>
        </w:rPr>
        <w:t>S. 320</w:t>
      </w:r>
    </w:p>
    <w:p w:rsidR="00217BB1" w:rsidRDefault="00217BB1">
      <w:pPr>
        <w:widowControl w:val="0"/>
        <w:jc w:val="left"/>
        <w:rPr>
          <w:rFonts w:cs="Times New Roman"/>
          <w:b/>
        </w:rPr>
      </w:pPr>
    </w:p>
    <w:p w:rsidR="00217BB1" w:rsidRDefault="005C5F8F">
      <w:pPr>
        <w:widowControl w:val="0"/>
        <w:jc w:val="left"/>
        <w:rPr>
          <w:rFonts w:cs="Times New Roman"/>
        </w:rPr>
      </w:pPr>
      <w:r>
        <w:rPr>
          <w:rFonts w:cs="Times New Roman"/>
          <w:b/>
        </w:rPr>
        <w:t>STATUS INFORMATION</w:t>
      </w:r>
    </w:p>
    <w:p w:rsidR="00217BB1" w:rsidRDefault="00217BB1">
      <w:pPr>
        <w:widowControl w:val="0"/>
        <w:jc w:val="left"/>
        <w:rPr>
          <w:rFonts w:cs="Times New Roman"/>
        </w:rPr>
      </w:pPr>
    </w:p>
    <w:p w:rsidR="00217BB1" w:rsidRDefault="005C5F8F">
      <w:pPr>
        <w:widowControl w:val="0"/>
        <w:jc w:val="left"/>
        <w:rPr>
          <w:rFonts w:cs="Times New Roman"/>
        </w:rPr>
      </w:pPr>
      <w:r>
        <w:rPr>
          <w:rFonts w:cs="Times New Roman"/>
        </w:rPr>
        <w:t>General Bill</w:t>
      </w:r>
    </w:p>
    <w:p w:rsidR="00217BB1" w:rsidRDefault="005C5F8F">
      <w:pPr>
        <w:widowControl w:val="0"/>
        <w:jc w:val="left"/>
        <w:rPr>
          <w:rFonts w:cs="Times New Roman"/>
        </w:rPr>
      </w:pPr>
      <w:r>
        <w:rPr>
          <w:rFonts w:cs="Times New Roman"/>
        </w:rPr>
        <w:t>Sponsors: Senators Malloy and Rose</w:t>
      </w:r>
    </w:p>
    <w:p w:rsidR="00217BB1" w:rsidRDefault="005C5F8F">
      <w:pPr>
        <w:widowControl w:val="0"/>
        <w:jc w:val="left"/>
        <w:rPr>
          <w:rFonts w:cs="Times New Roman"/>
        </w:rPr>
      </w:pPr>
      <w:r>
        <w:rPr>
          <w:rFonts w:cs="Times New Roman"/>
        </w:rPr>
        <w:t>Document Path: l:\s-jud\bills\malloy\jud0009.js.docx</w:t>
      </w:r>
    </w:p>
    <w:p w:rsidR="00217BB1" w:rsidRDefault="00217BB1">
      <w:pPr>
        <w:widowControl w:val="0"/>
        <w:jc w:val="left"/>
        <w:rPr>
          <w:rFonts w:cs="Times New Roman"/>
        </w:rPr>
      </w:pPr>
    </w:p>
    <w:p w:rsidR="00217BB1" w:rsidRDefault="005C5F8F">
      <w:pPr>
        <w:widowControl w:val="0"/>
        <w:jc w:val="left"/>
        <w:rPr>
          <w:rFonts w:cs="Times New Roman"/>
        </w:rPr>
      </w:pPr>
      <w:r>
        <w:rPr>
          <w:rFonts w:cs="Times New Roman"/>
        </w:rPr>
        <w:t>Introduced in the Senate on January 27, 2009</w:t>
      </w:r>
    </w:p>
    <w:p w:rsidR="00217BB1" w:rsidRDefault="005C5F8F">
      <w:pPr>
        <w:widowControl w:val="0"/>
        <w:jc w:val="left"/>
        <w:rPr>
          <w:rFonts w:cs="Times New Roman"/>
        </w:rPr>
      </w:pPr>
      <w:r>
        <w:rPr>
          <w:rFonts w:cs="Times New Roman"/>
        </w:rPr>
        <w:t xml:space="preserve">Currently residing in the Senate Committee on </w:t>
      </w:r>
      <w:r>
        <w:rPr>
          <w:rFonts w:cs="Times New Roman"/>
          <w:b/>
        </w:rPr>
        <w:t>Judiciary</w:t>
      </w:r>
    </w:p>
    <w:p w:rsidR="00217BB1" w:rsidRDefault="00217BB1">
      <w:pPr>
        <w:widowControl w:val="0"/>
        <w:jc w:val="left"/>
        <w:rPr>
          <w:rFonts w:cs="Times New Roman"/>
        </w:rPr>
      </w:pPr>
    </w:p>
    <w:p w:rsidR="00217BB1" w:rsidRDefault="005C5F8F">
      <w:pPr>
        <w:widowControl w:val="0"/>
        <w:jc w:val="left"/>
        <w:rPr>
          <w:rFonts w:cs="Times New Roman"/>
        </w:rPr>
      </w:pPr>
      <w:r>
        <w:rPr>
          <w:rFonts w:cs="Times New Roman"/>
        </w:rPr>
        <w:t>Summary: False Claims Act</w:t>
      </w:r>
    </w:p>
    <w:p w:rsidR="00217BB1" w:rsidRDefault="00217BB1">
      <w:pPr>
        <w:widowControl w:val="0"/>
        <w:jc w:val="left"/>
        <w:rPr>
          <w:rFonts w:cs="Times New Roman"/>
        </w:rPr>
      </w:pPr>
    </w:p>
    <w:p w:rsidR="00217BB1" w:rsidRDefault="00217BB1">
      <w:pPr>
        <w:widowControl w:val="0"/>
        <w:jc w:val="left"/>
        <w:rPr>
          <w:rFonts w:cs="Times New Roman"/>
        </w:rPr>
      </w:pPr>
    </w:p>
    <w:p w:rsidR="00217BB1" w:rsidRDefault="005C5F8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17BB1" w:rsidRDefault="00217BB1">
      <w:pPr>
        <w:widowControl w:val="0"/>
        <w:tabs>
          <w:tab w:val="center" w:pos="590"/>
          <w:tab w:val="center" w:pos="1440"/>
          <w:tab w:val="left" w:pos="1872"/>
          <w:tab w:val="left" w:pos="9187"/>
        </w:tabs>
        <w:jc w:val="left"/>
        <w:rPr>
          <w:rFonts w:cs="Times New Roman"/>
        </w:rPr>
      </w:pPr>
    </w:p>
    <w:p w:rsidR="00217BB1" w:rsidRDefault="005C5F8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217BB1" w:rsidRDefault="005C5F8F">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9C15EA">
          <w:rPr>
            <w:rStyle w:val="Hyperlink"/>
            <w:rFonts w:cs="Times New Roman"/>
          </w:rPr>
          <w:t>SJ</w:t>
        </w:r>
      </w:hyperlink>
      <w:r>
        <w:rPr>
          <w:rFonts w:cs="Times New Roman"/>
        </w:rPr>
        <w:noBreakHyphen/>
        <w:t>19</w:t>
      </w:r>
    </w:p>
    <w:p w:rsidR="00217BB1" w:rsidRDefault="005C5F8F">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9C15EA">
          <w:rPr>
            <w:rStyle w:val="Hyperlink"/>
            <w:rFonts w:cs="Times New Roman"/>
          </w:rPr>
          <w:t>SJ</w:t>
        </w:r>
      </w:hyperlink>
      <w:r>
        <w:rPr>
          <w:rFonts w:cs="Times New Roman"/>
        </w:rPr>
        <w:noBreakHyphen/>
        <w:t>19</w:t>
      </w:r>
    </w:p>
    <w:p w:rsidR="00217BB1" w:rsidRDefault="005C5F8F">
      <w:pPr>
        <w:widowControl w:val="0"/>
        <w:tabs>
          <w:tab w:val="right" w:pos="1008"/>
          <w:tab w:val="left" w:pos="1152"/>
          <w:tab w:val="left" w:pos="1872"/>
          <w:tab w:val="left" w:pos="9187"/>
        </w:tabs>
        <w:ind w:left="2088" w:hanging="2088"/>
        <w:jc w:val="left"/>
        <w:rPr>
          <w:rFonts w:cs="Times New Roman"/>
        </w:rPr>
      </w:pPr>
      <w:r>
        <w:rPr>
          <w:rFonts w:cs="Times New Roman"/>
        </w:rPr>
        <w:tab/>
        <w:t>2/2/2009</w:t>
      </w:r>
      <w:r>
        <w:rPr>
          <w:rFonts w:cs="Times New Roman"/>
        </w:rPr>
        <w:tab/>
        <w:t>Senate</w:t>
      </w:r>
      <w:r>
        <w:rPr>
          <w:rFonts w:cs="Times New Roman"/>
        </w:rPr>
        <w:tab/>
        <w:t>Referred to Subcommittee: L.Martin (ch), Rankin, Hutto, Bright, Davis</w:t>
      </w:r>
    </w:p>
    <w:p w:rsidR="00217BB1" w:rsidRDefault="00217BB1">
      <w:pPr>
        <w:widowControl w:val="0"/>
        <w:tabs>
          <w:tab w:val="right" w:pos="1008"/>
          <w:tab w:val="left" w:pos="1152"/>
          <w:tab w:val="left" w:pos="1872"/>
          <w:tab w:val="left" w:pos="9187"/>
        </w:tabs>
        <w:ind w:left="2088" w:hanging="2088"/>
        <w:jc w:val="left"/>
        <w:rPr>
          <w:rFonts w:cs="Times New Roman"/>
        </w:rPr>
      </w:pPr>
    </w:p>
    <w:p w:rsidR="00217BB1" w:rsidRDefault="00217BB1">
      <w:pPr>
        <w:widowControl w:val="0"/>
        <w:tabs>
          <w:tab w:val="right" w:pos="1008"/>
          <w:tab w:val="left" w:pos="1152"/>
          <w:tab w:val="left" w:pos="1872"/>
          <w:tab w:val="left" w:pos="9187"/>
        </w:tabs>
        <w:ind w:left="2088" w:hanging="2088"/>
        <w:jc w:val="left"/>
        <w:rPr>
          <w:rFonts w:cs="Times New Roman"/>
        </w:rPr>
      </w:pPr>
    </w:p>
    <w:p w:rsidR="00217BB1" w:rsidRDefault="005C5F8F">
      <w:pPr>
        <w:widowControl w:val="0"/>
        <w:jc w:val="left"/>
        <w:rPr>
          <w:rFonts w:cs="Times New Roman"/>
        </w:rPr>
      </w:pPr>
      <w:r>
        <w:rPr>
          <w:rFonts w:cs="Times New Roman"/>
          <w:b/>
        </w:rPr>
        <w:t>VERSIONS OF THIS BILL</w:t>
      </w:r>
    </w:p>
    <w:p w:rsidR="00217BB1" w:rsidRDefault="00217BB1">
      <w:pPr>
        <w:widowControl w:val="0"/>
        <w:jc w:val="left"/>
        <w:rPr>
          <w:rFonts w:cs="Times New Roman"/>
        </w:rPr>
      </w:pPr>
    </w:p>
    <w:p w:rsidR="00217BB1" w:rsidRDefault="00DE40D3">
      <w:pPr>
        <w:widowControl w:val="0"/>
        <w:jc w:val="left"/>
        <w:rPr>
          <w:rFonts w:cs="Times New Roman"/>
        </w:rPr>
      </w:pPr>
      <w:hyperlink r:id="rId8" w:history="1">
        <w:r w:rsidR="005C5F8F">
          <w:rPr>
            <w:rStyle w:val="Hyperlink"/>
            <w:rFonts w:cs="Times New Roman"/>
          </w:rPr>
          <w:t>1/27/2009</w:t>
        </w:r>
      </w:hyperlink>
    </w:p>
    <w:p w:rsidR="00217BB1" w:rsidRDefault="00217BB1"/>
    <w:p w:rsidR="00217BB1" w:rsidRDefault="00217BB1">
      <w:pPr>
        <w:sectPr w:rsidR="00217BB1">
          <w:pgSz w:w="12240" w:h="15840" w:code="1"/>
          <w:pgMar w:top="1080" w:right="1440" w:bottom="1080" w:left="1440" w:header="720" w:footer="720" w:gutter="0"/>
          <w:cols w:space="720"/>
          <w:noEndnote/>
          <w:docGrid w:linePitch="360"/>
        </w:sectPr>
      </w:pP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 w:name="titletop"/>
      <w:bookmarkEnd w:id="3"/>
      <w:r>
        <w:rPr>
          <w:rFonts w:cs="Times New Roman"/>
        </w:rPr>
        <w:t>TO AMEND THE CODE OF LAWS OF SOUTH CAROLINA, 1976, BY ADDING CHAPTER 85 TO TITLE 15 SO AS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15 of the 1976 Code is amended by adding:</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“Chapter 85</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South Carolina False Claims Act</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10.</w:t>
      </w:r>
      <w:r>
        <w:rPr>
          <w:rFonts w:eastAsia="MS Mincho" w:cs="Times New Roman"/>
          <w:szCs w:val="20"/>
        </w:rPr>
        <w:tab/>
        <w:t>This chapter may be cited as the ‘South Carolina False Claims Act’.</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20.</w:t>
      </w:r>
      <w:r>
        <w:rPr>
          <w:rFonts w:eastAsia="MS Mincho" w:cs="Times New Roman"/>
          <w:szCs w:val="20"/>
        </w:rPr>
        <w:tab/>
        <w:t>As used in this chapter, the term:</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‘Attorney General’ means the South Carolina Attorney General, any of his Assistant Attorneys General, or any employee, investigator, or auditor employed by the Attorney General.</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w:t>
      </w:r>
      <w:r>
        <w:rPr>
          <w:rFonts w:eastAsia="MS Mincho" w:cs="Times New Roman"/>
          <w:szCs w:val="20"/>
        </w:rPr>
        <w:lastRenderedPageBreak/>
        <w:t>necessary to use or interpret data compilations, and other products of discovery.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‘Guard’ means the South Carolina National Guard.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‘Investigation’ means an inquiry conducted by an investigator for the purpose of ascertaining whether a person is or has been engaged in a violation of this act.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‘Medicaid Fraud Control Unit’ means the South Carolina Medicaid Fraud Control Unit certified pursuant to federal law.</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‘Proceeds’ of the action or settlement means the damages derived from the action or settlement and shall not include fines, penalties, costs, expenses, attorney’s fees, or other recoveries.</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‘Person’ means any natural person, corporation, joint venture, partnership, unincorporated association, or any other legal entity.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‘Product of discovery’ includes:</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(a)</w:t>
      </w:r>
      <w:r>
        <w:rPr>
          <w:rFonts w:eastAsia="MS Mincho" w:cs="Times New Roman"/>
          <w:szCs w:val="20"/>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(b)</w:t>
      </w:r>
      <w:r>
        <w:rPr>
          <w:rFonts w:eastAsia="MS Mincho" w:cs="Times New Roman"/>
          <w:szCs w:val="20"/>
        </w:rPr>
        <w:tab/>
        <w:t>a digest, analysis, selection, compilation, or derivation of an item listed in item (a); 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(c)</w:t>
      </w:r>
      <w:r>
        <w:rPr>
          <w:rFonts w:eastAsia="MS Mincho" w:cs="Times New Roman"/>
          <w:szCs w:val="20"/>
        </w:rPr>
        <w:tab/>
        <w:t>an index or other manner of access to an item listed in item (a).</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‘Relator’ means a person who brings a civil action pursuant to this chapter.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(11)</w:t>
      </w:r>
      <w:r>
        <w:rPr>
          <w:rFonts w:eastAsia="MS Mincho" w:cs="Times New Roman"/>
          <w:szCs w:val="20"/>
        </w:rPr>
        <w:tab/>
        <w:t>‘State’ means the State of South Carolina.</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30.</w:t>
      </w:r>
      <w:r>
        <w:rPr>
          <w:rFonts w:eastAsia="MS Mincho" w:cs="Times New Roman"/>
          <w:szCs w:val="20"/>
        </w:rPr>
        <w:tab/>
        <w:t>(A)</w:t>
      </w:r>
      <w:r>
        <w:rPr>
          <w:rFonts w:eastAsia="MS Mincho" w:cs="Times New Roman"/>
          <w:szCs w:val="20"/>
        </w:rPr>
        <w:tab/>
        <w:t>As used in this section, the terms:</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‘knowing’ and ‘knowingly’ mean, with respect to information, that a person: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has actual knowledge of the information;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acts in deliberate ignorance of the truth or falsity of the information;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acts in reckless disregard of the truth or falsity of the information, and no proof of specific intent to defraud is required;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‘claim’ includes a request or demand, whether pursuant to a contract or otherwise, for money or property which is made to a contractor, grantee, or other recipient if the State provides a portion of the money or property which is requested or demanded, or if the State will reimburse a contractor, grantee, or other recipient for a portion of the money or property which is requested or demanded.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Notwithstanding another provision of law, a person who:</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knowingly presents, or knowingly causes to be presented, to an officer or employee of the State or a member of the guard a false or fraudulent claim for payment or approval;</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knowingly makes, uses, or causes to be made or used, a false record or statement to get a false or fraudulent claim paid or approved by the State;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conspires to defraud the State by getting a false or fraudulent claim allowed or paid;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has possession, custody, or control of property or money used, or to be used, by the State and, intending to defraud the State or wilfully to conceal the property, delivers, or causes to be delivered, less property than the amount for which the person receives a certificate or receipt;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is authorized to make or deliver a document certifying receipt of property used, or to be used, by the State and, intending to defraud the State, makes or delivers the receipt without completely knowing that the information on the receipt is true;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knowingly buys, or receives as a pledge of an obligation or debt, public property from an officer or employee of the State, or a member of the guard, who lawfully may not sell or pledge the property;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knowingly makes, uses, or causes to be made or used, a false record or statement to conceal, avoid, or decrease an obligation to pay or transmit money or property to the State, is liable to the State for a civil penalty of not less than five thousand five hundred dollars and not more than eleven thousand dollars, plus three times the amount of damages which the State sustains because of the act of that person.  A person who violates the provisions of this subsection is also liable to the State for the costs of a civil action brought to recover a penalty or damages.</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provisions of this section do not apply to claims, records, or statements made pursuant to the South Carolina Income Tax Act.</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40.</w:t>
      </w:r>
      <w:r>
        <w:rPr>
          <w:rFonts w:eastAsia="MS Mincho" w:cs="Times New Roman"/>
          <w:szCs w:val="20"/>
        </w:rPr>
        <w:tab/>
        <w:t>(A)</w:t>
      </w:r>
      <w:r>
        <w:rPr>
          <w:rFonts w:eastAsia="MS Mincho" w:cs="Times New Roman"/>
          <w:szCs w:val="20"/>
        </w:rPr>
        <w:tab/>
        <w:t>The Attorney General shall diligently investigate a civil violation pursuant to Section 15</w:t>
      </w:r>
      <w:r>
        <w:rPr>
          <w:rFonts w:eastAsia="MS Mincho" w:cs="Times New Roman"/>
          <w:szCs w:val="20"/>
        </w:rPr>
        <w:noBreakHyphen/>
        <w:t>85</w:t>
      </w:r>
      <w:r>
        <w:rPr>
          <w:rFonts w:eastAsia="MS Mincho" w:cs="Times New Roman"/>
          <w:szCs w:val="20"/>
        </w:rPr>
        <w:noBreakHyphen/>
        <w:t>30.  If the Attorney General finds that a person has violated or is violating the provisions of Section 15</w:t>
      </w:r>
      <w:r>
        <w:rPr>
          <w:rFonts w:eastAsia="MS Mincho" w:cs="Times New Roman"/>
          <w:szCs w:val="20"/>
        </w:rPr>
        <w:noBreakHyphen/>
        <w:t>85</w:t>
      </w:r>
      <w:r>
        <w:rPr>
          <w:rFonts w:eastAsia="MS Mincho" w:cs="Times New Roman"/>
          <w:szCs w:val="20"/>
        </w:rPr>
        <w:noBreakHyphen/>
        <w:t>30, the Attorney General may bring a civil action pursuant to this section against the person.  An action brought under this section shall be filed in Richland County.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For an action by a private person: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 person may bring a civil action for a violation of Section 15</w:t>
      </w:r>
      <w:r>
        <w:rPr>
          <w:rFonts w:eastAsia="MS Mincho" w:cs="Times New Roman"/>
          <w:szCs w:val="20"/>
        </w:rPr>
        <w:noBreakHyphen/>
        <w:t>85</w:t>
      </w:r>
      <w:r>
        <w:rPr>
          <w:rFonts w:eastAsia="MS Mincho" w:cs="Times New Roman"/>
          <w:szCs w:val="20"/>
        </w:rPr>
        <w:noBreakHyphen/>
        <w:t>30 for the person and for the State. The action must be brought in the name of the State. The action may be dismissed only if the court and the Attorney General give written consent to the dismissal and their reasons for consenting.  An action brought under this section shall be filed in Richland County.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Before the expiration of the sixty-day period or an extension obtained pursuant to item (3), the State shall:</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proceed with the action, in which case the action must be conducted by the State,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notify the court that it declines to take over the action, and the person bringing the action has the right to conduct the action.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When a person brings an action pursuant to this subsection, no person other than the State may intervene or bring a separate, related action based on the facts underlying the pending action.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In Qui Tam actions:</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If the State proceeds with the action, it has the primary responsibility for prosecuting the action, and is not bound by an act of the person bringing the action.  The person has the right to continue as a party to the action, subject to the limitations provided in item (2).</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(2)(a)</w:t>
      </w:r>
      <w:r>
        <w:rPr>
          <w:rFonts w:eastAsia="MS Mincho" w:cs="Times New Roman"/>
          <w:szCs w:val="20"/>
        </w:rPr>
        <w:tab/>
        <w:t>The State may dismiss the action notwithstanding the objections of the person initiating the action if the person has been notified by the State of the filing of the motion and the court has provided the person with an opportunity for a hearing on the motion.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The State may settle the action with the defendant notwithstanding the objections of the person initiating the action if the court determines, after a hearing, that the proposed settlement is fair, adequate, and reasonable under all the circumstances. Upon a showing of good cause, a hearing may be held in camera.</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Upon a showing by the State that unrestricted participation during the course of the litigation by the person initiating the action would interfere with or unduly delay the state’s prosecution of the case, or would be repetitious, irrelevant, or for purposes of harassment, the court may, in its discretion, impose limitations on the person’s participation including, but not limited to: </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limiting the number of witnesses the person may call;</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(ii)</w:t>
      </w:r>
      <w:r>
        <w:rPr>
          <w:rFonts w:eastAsia="MS Mincho" w:cs="Times New Roman"/>
          <w:szCs w:val="20"/>
        </w:rPr>
        <w:tab/>
        <w:t>limiting the length of the testimony of the witnesses;</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(iii)</w:t>
      </w:r>
      <w:r>
        <w:rPr>
          <w:rFonts w:eastAsia="MS Mincho" w:cs="Times New Roman"/>
          <w:szCs w:val="20"/>
        </w:rPr>
        <w:tab/>
        <w:t>limiting the person’s cross</w:t>
      </w:r>
      <w:r>
        <w:rPr>
          <w:rFonts w:eastAsia="MS Mincho" w:cs="Times New Roman"/>
          <w:szCs w:val="20"/>
        </w:rPr>
        <w:noBreakHyphen/>
        <w:t>examination of witnesses;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(iv)</w:t>
      </w:r>
      <w:r>
        <w:rPr>
          <w:rFonts w:eastAsia="MS Mincho" w:cs="Times New Roman"/>
          <w:szCs w:val="20"/>
        </w:rPr>
        <w:tab/>
        <w:t>otherwise limiting the participation by the person in the litigation.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(d)</w:t>
      </w:r>
      <w:r>
        <w:rPr>
          <w:rFonts w:eastAsia="MS Mincho" w:cs="Times New Roman"/>
          <w:szCs w:val="20"/>
        </w:rPr>
        <w:tab/>
        <w:t>Upon an adequate showing by the defendant that unrestricted participation during the course of the litigation by the person initiating the action would be for purposes of harassment or would cause the defendant undue burden or unnecessary expense, the court may limit the participation by the person in the litigation.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the State elects not to proceed with the action, the person who initiated the action has the right to conduct the action.  If the State requests, it must be served with copies of all pleadings filed in the action and must be supplied with copies of all deposition transcripts at the state’s expense.  When a person proceeds with the action, the court, without limiting the status and rights of the person initiating the action, may permit the State to intervene at a later date upon a showing of good cause.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Whether or not the State proceeds with the action, upon a showing by the State that certain actions of discovery by the person initiating the action would interfere with the state’s investigation or prosecution of a criminal or civil matter arising out of the same facts, the court may stay such discovery for a period of not more than sixty days.  This showing must be conducted in camera. The court may extend the sixty</w:t>
      </w:r>
      <w:r>
        <w:rPr>
          <w:rFonts w:eastAsia="MS Mincho" w:cs="Times New Roman"/>
          <w:szCs w:val="20"/>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person initiating the action has the same rights in the proceeding as the person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In an award to a Qui Tam plaintiff:</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If the State proceeds with an action brought by a person pursuant to subsection (B), the person shall receive at least fifteen percent but not more than twenty</w:t>
      </w:r>
      <w:r>
        <w:rPr>
          <w:rFonts w:eastAsia="MS Mincho" w:cs="Times New Roman"/>
          <w:szCs w:val="20"/>
        </w:rPr>
        <w:noBreakHyphen/>
        <w:t>five percent of the proceeds of the action or settlement of the claim, depending upon the extent to which the person substantially contributed to the prosecution of the action and subject to the limitations of this item.  When the action is one the court finds to be based primarily on disclosures of specific information, other than information provided by the person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fifteen percent of the proceeds, taking into account the significance of the information and the role of the person bringing the action in advancing the case to litigation.  Payment to a person pursuant to the provisions of this item must be made from the proceeds.  This person also shall receive an amount for reasonable expenses which the court finds to have been necessarily incurred, plus reasonable attorney’s fees and costs.  The State also shall receive an amount for reasonable expenses which the court finds to have been necessarily incurred by the Attorney General, including reasonable attorney’s fees and costs, which shall be paid directly to the Attorney General.  All expenses, fees, and costs must be awarded against the defendant.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twenty-five percent and not more than forty percent of the proceeds of the action or settlement and must be paid out of the proceeds.  The person also shall receive an amount for reasonable expenses which the court finds to have been necessarily incurred, plus reasonable attorney’s fees and costs.  All expenses, fees, and costs must be awarded against the defendant.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Whether or not the State proceeds with the action, if the court finds that the action was brought by a person who planned and initiated the violation of Section 15</w:t>
      </w:r>
      <w:r>
        <w:rPr>
          <w:rFonts w:eastAsia="MS Mincho" w:cs="Times New Roman"/>
          <w:szCs w:val="20"/>
        </w:rPr>
        <w:noBreakHyphen/>
        <w:t>85</w:t>
      </w:r>
      <w:r>
        <w:rPr>
          <w:rFonts w:eastAsia="MS Mincho" w:cs="Times New Roman"/>
          <w:szCs w:val="20"/>
        </w:rPr>
        <w:noBreakHyphen/>
        <w:t>30 upon which the action was brought, then the court may, to the extent the court considers appropriate, reduce the share of the proceeds of the action which the person would otherwise receive pursuant to subsection (D)(1) or (2), taking into account the role of that person in advancing the case to litigation and relevant circumstances pertaining to the violation.  If the person bringing the action is convicted of criminal conduct arising from his role in the violation of Section 15</w:t>
      </w:r>
      <w:r>
        <w:rPr>
          <w:rFonts w:eastAsia="MS Mincho" w:cs="Times New Roman"/>
          <w:szCs w:val="20"/>
        </w:rPr>
        <w:noBreakHyphen/>
        <w:t>85</w:t>
      </w:r>
      <w:r>
        <w:rPr>
          <w:rFonts w:eastAsia="MS Mincho" w:cs="Times New Roman"/>
          <w:szCs w:val="20"/>
        </w:rPr>
        <w:noBreakHyphen/>
        <w:t>30, that person must be dismissed from the civil action and shall not receive a share of the proceeds of the action.  A dismissal does not prejudice the right of the State or other relators to continue the action.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If the State does not proceed with the action and the person bringing the action conducts the action, the court may award to the defendant its reasonable attorney’s fees and expenses if the defendant prevails in the action and the court finds by clear and convincing evidence that the claim of the person bringing the action was clearly frivolous, clearly vexatious, or brought primarily for purposes of harassment.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(E)(1)</w:t>
      </w:r>
      <w:r>
        <w:rPr>
          <w:rFonts w:eastAsia="MS Mincho" w:cs="Times New Roman"/>
          <w:szCs w:val="20"/>
        </w:rPr>
        <w:tab/>
        <w:t>A court does not have jurisdiction over an action brought by a former or present member of the guard pursuant to subsection (B) against a member of the guard arising out of the person’s service in the guard.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Adjutant General, the Assistant Adjutant General, members of state boards and commissions, and all other positions appointed by the Governor by and with the consent of the Senate.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A person may not bring an action pursuant to subsection (B) which is based upon allegations or transactions which are the subject of a civil suit or an administrative civil money penalty proceeding in which the State is already a party.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A court does not have jurisdiction over an action pursuant to this section based upon the public disclosure of allegations or transactions in a criminal, civil, or administrative hearing, in a legislative, administrative, or Legislative Audit Council’s report, hearing, audit, or investigation, or from the news media, unless the action is brought by the Attorney General or the person bringing the action is an original source of the information.  ‘Original source’ means an individual who has direct and independent knowledge of the information on which the allegations are based and has voluntarily provided the information to the State before filing an action pursuant to this section which is based on the information.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The State is not liable for expenses which a person incurs in bringing an action pursuant to this section.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An employee who is discharged, demoted, suspended, threatened, harassed, or in another manner discriminated against in the terms and conditions of employment by his employer because of lawful acts done by the employee on behalf of the employee or others in furtherance of an action pursuant to this section, including investigation for, initiation of, testimony for, or assistance in an action filed or to be filed pursuant to this section, is entitled to all relief necessary to make the employee whole. Relief includes reinstatement with the seniority status the employee would have had but for the discrimination; double the amounts of back pay, interest on the back pay, and compensation for special damages sustained as a result of the discrimination including litigation costs; and reasonable attorney’s fees.  An employee may bring an action in the appropriate circuit court for the relief provided in this subsection.</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50.</w:t>
      </w:r>
      <w:r>
        <w:rPr>
          <w:rFonts w:eastAsia="MS Mincho" w:cs="Times New Roman"/>
          <w:szCs w:val="20"/>
        </w:rPr>
        <w:tab/>
        <w:t>(A)</w:t>
      </w:r>
      <w:r>
        <w:rPr>
          <w:rFonts w:eastAsia="MS Mincho" w:cs="Times New Roman"/>
          <w:szCs w:val="20"/>
        </w:rPr>
        <w:tab/>
        <w:t>A subpoena requiring the attendance of a witness at a trial or hearing conducted pursuant to Section 15</w:t>
      </w:r>
      <w:r>
        <w:rPr>
          <w:rFonts w:eastAsia="MS Mincho" w:cs="Times New Roman"/>
          <w:szCs w:val="20"/>
        </w:rPr>
        <w:noBreakHyphen/>
        <w:t>85</w:t>
      </w:r>
      <w:r>
        <w:rPr>
          <w:rFonts w:eastAsia="MS Mincho" w:cs="Times New Roman"/>
          <w:szCs w:val="20"/>
        </w:rPr>
        <w:noBreakHyphen/>
        <w:t>40 may be served at any place in the State.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civil action pursuant to Section 15</w:t>
      </w:r>
      <w:r>
        <w:rPr>
          <w:rFonts w:eastAsia="MS Mincho" w:cs="Times New Roman"/>
          <w:szCs w:val="20"/>
        </w:rPr>
        <w:noBreakHyphen/>
        <w:t>85</w:t>
      </w:r>
      <w:r>
        <w:rPr>
          <w:rFonts w:eastAsia="MS Mincho" w:cs="Times New Roman"/>
          <w:szCs w:val="20"/>
        </w:rPr>
        <w:noBreakHyphen/>
        <w:t>40 may not be brought the latter of:</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more than ten years after the date on which the violation of Section 15</w:t>
      </w:r>
      <w:r>
        <w:rPr>
          <w:rFonts w:eastAsia="MS Mincho" w:cs="Times New Roman"/>
          <w:szCs w:val="20"/>
        </w:rPr>
        <w:noBreakHyphen/>
        <w:t>85</w:t>
      </w:r>
      <w:r>
        <w:rPr>
          <w:rFonts w:eastAsia="MS Mincho" w:cs="Times New Roman"/>
          <w:szCs w:val="20"/>
        </w:rPr>
        <w:noBreakHyphen/>
        <w:t>30 is committed;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more than six years after the date when facts material to the right of action are known or reasonably should have been known by the official of the State charged with responsibility to act in the circumstances, but in no event more than fifteen years after the date on which the violation is committed.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In an action brought pursuant to Section 15</w:t>
      </w:r>
      <w:r>
        <w:rPr>
          <w:rFonts w:eastAsia="MS Mincho" w:cs="Times New Roman"/>
          <w:szCs w:val="20"/>
        </w:rPr>
        <w:noBreakHyphen/>
        <w:t>85</w:t>
      </w:r>
      <w:r>
        <w:rPr>
          <w:rFonts w:eastAsia="MS Mincho" w:cs="Times New Roman"/>
          <w:szCs w:val="20"/>
        </w:rPr>
        <w:noBreakHyphen/>
        <w:t>40, the State is required to prove all essential elements of the cause of action, including damages, by a preponderance of the evidence.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Pr>
          <w:rFonts w:eastAsia="MS Mincho" w:cs="Times New Roman"/>
          <w:szCs w:val="20"/>
        </w:rPr>
        <w:noBreakHyphen/>
        <w:t>85</w:t>
      </w:r>
      <w:r>
        <w:rPr>
          <w:rFonts w:eastAsia="MS Mincho" w:cs="Times New Roman"/>
          <w:szCs w:val="20"/>
        </w:rPr>
        <w:noBreakHyphen/>
        <w:t>40(A) or (B).</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60.</w:t>
      </w:r>
      <w:r>
        <w:rPr>
          <w:rFonts w:eastAsia="MS Mincho" w:cs="Times New Roman"/>
          <w:szCs w:val="20"/>
        </w:rPr>
        <w:tab/>
        <w:t>(A)</w:t>
      </w:r>
      <w:r>
        <w:rPr>
          <w:rFonts w:eastAsia="MS Mincho" w:cs="Times New Roman"/>
          <w:szCs w:val="20"/>
        </w:rPr>
        <w:tab/>
        <w:t>Whenever the Attorney General has reason to believe that a person may be in possession, custody, or control of documentary material or information relevant to an investigation, the Attorney General, before commencing a civil proceeding pursuant to this chapter, may issue in writing and cause to be served upon a person, a civil investigative demand requiring the person to:</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produce documentary material for inspection and copying;</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answer, in writing, written interrogatories with respect to documentary material or information;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give oral testimony concerning documentary material or information;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furnish a combination of material, answers, or testimony.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When a civil investigative demand is an express demand for a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Each civil investigative demand issued pursuant to subsection (A) must state the nature of the conduct constituting an alleged violation, which is under investigation, and the applicable provision of law alleged to be violated.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If the demand is for the production of documentary material, the demand must: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describe each class of documentary material to be produced with such definiteness and certainty as to permit the material to be fairly identified;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prescribe a return date for each class which will provide a reasonable period of time within which the material demanded may be assembled and made available for inspection and copying; 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identify the investigator to whom the material must be made available.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If the demand is for answers to written interrogatories, the demand must: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list with specificity the written interrogatories to be answered;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prescribe dates at which time answers to written interrogatories must be submitted; 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identify the investigator to whom the answers must be submitted.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the demand is for the giving of oral testimony, the demand must: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prescribe a date, time, and place at which oral testimony must be commenced;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identify an investigator who shall conduct the examination and identify the custodian to whom the transcript of the examination must be submitted;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specify that the attendance and testimony are necessary to the conduct of the investigation;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notify the person receiving the demand of the right to be accompanied by an attorney and another representative; 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describe the general purpose for which the demand is being issued and the general nature of the testimony, including the primary areas of inquiry, which will be taken pursuant to the demand.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(J)</w:t>
      </w:r>
      <w:r>
        <w:rPr>
          <w:rFonts w:eastAsia="MS Mincho" w:cs="Times New Roman"/>
          <w:szCs w:val="20"/>
        </w:rPr>
        <w:tab/>
        <w:t>A civil investigative demand issued under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subpoenas or subpoenas duces tecum issued by a court of this State to aid in grand jury investigations;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discovery requests pursuant to the Rules of Civil Procedure, to the extent that the application of these standards to a demand is appropriate and consistent with the provisions and purposes of this section.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(K)</w:t>
      </w:r>
      <w:r>
        <w:rPr>
          <w:rFonts w:eastAsia="MS Mincho" w:cs="Times New Roman"/>
          <w:szCs w:val="20"/>
        </w:rPr>
        <w:tab/>
        <w:t>Except as provided in this section, a demand which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which the person making the disclosure may be entitled to invoke to resist discovery of trial preparation materials.</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70.</w:t>
      </w:r>
      <w:r>
        <w:rPr>
          <w:rFonts w:eastAsia="MS Mincho" w:cs="Times New Roman"/>
          <w:szCs w:val="20"/>
        </w:rPr>
        <w:tab/>
        <w:t>(A)(1)</w:t>
      </w:r>
      <w:r>
        <w:rPr>
          <w:rFonts w:eastAsia="MS Mincho" w:cs="Times New Roman"/>
          <w:szCs w:val="20"/>
        </w:rPr>
        <w:tab/>
        <w:t>A civil investigative demand issued pursuant to Section 15</w:t>
      </w:r>
      <w:r>
        <w:rPr>
          <w:rFonts w:eastAsia="MS Mincho" w:cs="Times New Roman"/>
          <w:szCs w:val="20"/>
        </w:rPr>
        <w:noBreakHyphen/>
        <w:t>85</w:t>
      </w:r>
      <w:r>
        <w:rPr>
          <w:rFonts w:eastAsia="MS Mincho" w:cs="Times New Roman"/>
          <w:szCs w:val="20"/>
        </w:rPr>
        <w:noBreakHyphen/>
        <w:t>60(A) may be served by an investigator, or by another person authorized to serve process on individuals within South Carolina.</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demand or petition filed pursuant to Section 15</w:t>
      </w:r>
      <w:r>
        <w:rPr>
          <w:rFonts w:eastAsia="MS Mincho" w:cs="Times New Roman"/>
          <w:szCs w:val="20"/>
        </w:rPr>
        <w:noBreakHyphen/>
        <w:t>85</w:t>
      </w:r>
      <w:r>
        <w:rPr>
          <w:rFonts w:eastAsia="MS Mincho" w:cs="Times New Roman"/>
          <w:szCs w:val="20"/>
        </w:rPr>
        <w:noBreakHyphen/>
        <w:t>120 may be served upon a person who is not found within South Carolina in a manner as the Rules of Civil Procedure and applicable statutory law prescribe for service of process outside South Carolina.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Service of a civil investigative demand issued pursuant to Section 15</w:t>
      </w:r>
      <w:r>
        <w:rPr>
          <w:rFonts w:eastAsia="MS Mincho" w:cs="Times New Roman"/>
          <w:szCs w:val="20"/>
        </w:rPr>
        <w:noBreakHyphen/>
        <w:t>85</w:t>
      </w:r>
      <w:r>
        <w:rPr>
          <w:rFonts w:eastAsia="MS Mincho" w:cs="Times New Roman"/>
          <w:szCs w:val="20"/>
        </w:rPr>
        <w:noBreakHyphen/>
        <w:t>60 or of a petition filed pursuant to Section 15</w:t>
      </w:r>
      <w:r>
        <w:rPr>
          <w:rFonts w:eastAsia="MS Mincho" w:cs="Times New Roman"/>
          <w:szCs w:val="20"/>
        </w:rPr>
        <w:noBreakHyphen/>
        <w:t>85</w:t>
      </w:r>
      <w:r>
        <w:rPr>
          <w:rFonts w:eastAsia="MS Mincho" w:cs="Times New Roman"/>
          <w:szCs w:val="20"/>
        </w:rPr>
        <w:noBreakHyphen/>
        <w:t>120 may be made upon a partnership, corporation, association, or other legal entity by: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delivering an executed copy of the demand or petition to a partner, executive officer, managing agent, general agent, or registered agent of the partnership, corporation, association, or entity;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delivering an executed copy of the demand or petition to the principal office or place of business of the partnership, corporation, association, or entity;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Service of a demand or petition pursuant to Section 15</w:t>
      </w:r>
      <w:r>
        <w:rPr>
          <w:rFonts w:eastAsia="MS Mincho" w:cs="Times New Roman"/>
          <w:szCs w:val="20"/>
        </w:rPr>
        <w:noBreakHyphen/>
        <w:t>85</w:t>
      </w:r>
      <w:r>
        <w:rPr>
          <w:rFonts w:eastAsia="MS Mincho" w:cs="Times New Roman"/>
          <w:szCs w:val="20"/>
        </w:rPr>
        <w:noBreakHyphen/>
        <w:t>60, or filed pursuant to Section 15</w:t>
      </w:r>
      <w:r>
        <w:rPr>
          <w:rFonts w:eastAsia="MS Mincho" w:cs="Times New Roman"/>
          <w:szCs w:val="20"/>
        </w:rPr>
        <w:noBreakHyphen/>
        <w:t>85</w:t>
      </w:r>
      <w:r>
        <w:rPr>
          <w:rFonts w:eastAsia="MS Mincho" w:cs="Times New Roman"/>
          <w:szCs w:val="20"/>
        </w:rPr>
        <w:noBreakHyphen/>
        <w:t>120, may be made on a natural person by: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delivering an executed copy of the demand or petition to the person;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depositing an executed copy of the demand or petition in the United States mail by registered or certified mail, with a return receipt requested, addressed to the person at the person’s residence or principal office or place of business.</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verified return by the individual serving a civil investigative demand issued pursuant to Section 15</w:t>
      </w:r>
      <w:r>
        <w:rPr>
          <w:rFonts w:eastAsia="MS Mincho" w:cs="Times New Roman"/>
          <w:szCs w:val="20"/>
        </w:rPr>
        <w:noBreakHyphen/>
        <w:t>85</w:t>
      </w:r>
      <w:r>
        <w:rPr>
          <w:rFonts w:eastAsia="MS Mincho" w:cs="Times New Roman"/>
          <w:szCs w:val="20"/>
        </w:rPr>
        <w:noBreakHyphen/>
        <w:t>60 or a petition filed pursuant to Section 15</w:t>
      </w:r>
      <w:r>
        <w:rPr>
          <w:rFonts w:eastAsia="MS Mincho" w:cs="Times New Roman"/>
          <w:szCs w:val="20"/>
        </w:rPr>
        <w:noBreakHyphen/>
        <w:t>85</w:t>
      </w:r>
      <w:r>
        <w:rPr>
          <w:rFonts w:eastAsia="MS Mincho" w:cs="Times New Roman"/>
          <w:szCs w:val="20"/>
        </w:rPr>
        <w:noBreakHyphen/>
        <w:t>120 providing the manner of service is proof of service.  In the case of service by registered or certified mail, the return is accompanied by the return post office receipt of delivery of the demand.</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80.</w:t>
      </w:r>
      <w:r>
        <w:rPr>
          <w:rFonts w:eastAsia="MS Mincho" w:cs="Times New Roman"/>
          <w:szCs w:val="20"/>
        </w:rPr>
        <w:tab/>
        <w:t>(A)</w:t>
      </w:r>
      <w:r>
        <w:rPr>
          <w:rFonts w:eastAsia="MS Mincho" w:cs="Times New Roman"/>
          <w:szCs w:val="20"/>
        </w:rPr>
        <w:tab/>
        <w:t>The production of documentary material in response to a civil investigative demand served pursuant to Section 15</w:t>
      </w:r>
      <w:r>
        <w:rPr>
          <w:rFonts w:eastAsia="MS Mincho" w:cs="Times New Roman"/>
          <w:szCs w:val="20"/>
        </w:rPr>
        <w:noBreakHyphen/>
        <w:t>85</w:t>
      </w:r>
      <w:r>
        <w:rPr>
          <w:rFonts w:eastAsia="MS Mincho" w:cs="Times New Roman"/>
          <w:szCs w:val="20"/>
        </w:rPr>
        <w:noBreakHyphen/>
        <w:t>60 must be made under a sworn certificate, in a form as the demand designates, by: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person to whom the demand is directed in the case of a natural person;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person having knowledge of the facts and circumstances relating to the production and authorized to act on behalf of the person, in the case of a person other than a natural person.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 person upon whom a civil investigative demand for the production of documentary material has been served pursuant to Section 15</w:t>
      </w:r>
      <w:r>
        <w:rPr>
          <w:rFonts w:eastAsia="MS Mincho" w:cs="Times New Roman"/>
          <w:szCs w:val="20"/>
        </w:rPr>
        <w:noBreakHyphen/>
        <w:t>85</w:t>
      </w:r>
      <w:r>
        <w:rPr>
          <w:rFonts w:eastAsia="MS Mincho" w:cs="Times New Roman"/>
          <w:szCs w:val="20"/>
        </w:rPr>
        <w:noBreakHyphen/>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Pr>
          <w:rFonts w:eastAsia="MS Mincho" w:cs="Times New Roman"/>
          <w:szCs w:val="20"/>
        </w:rPr>
        <w:noBreakHyphen/>
        <w:t>85</w:t>
      </w:r>
      <w:r>
        <w:rPr>
          <w:rFonts w:eastAsia="MS Mincho" w:cs="Times New Roman"/>
          <w:szCs w:val="20"/>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90.</w:t>
      </w:r>
      <w:r>
        <w:rPr>
          <w:rFonts w:eastAsia="MS Mincho" w:cs="Times New Roman"/>
          <w:szCs w:val="20"/>
        </w:rPr>
        <w:tab/>
        <w:t>(A)</w:t>
      </w:r>
      <w:r>
        <w:rPr>
          <w:rFonts w:eastAsia="MS Mincho" w:cs="Times New Roman"/>
          <w:szCs w:val="20"/>
        </w:rPr>
        <w:tab/>
        <w:t>Each interrogatory in a civil investigative demand served pursuant to Section 15</w:t>
      </w:r>
      <w:r>
        <w:rPr>
          <w:rFonts w:eastAsia="MS Mincho" w:cs="Times New Roman"/>
          <w:szCs w:val="20"/>
        </w:rPr>
        <w:noBreakHyphen/>
        <w:t>85</w:t>
      </w:r>
      <w:r>
        <w:rPr>
          <w:rFonts w:eastAsia="MS Mincho" w:cs="Times New Roman"/>
          <w:szCs w:val="20"/>
        </w:rPr>
        <w:noBreakHyphen/>
        <w:t>60 must be answered separately and fully in writing under oath and must be submitted under a sworn certificate, in a form as the demand designates by: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person to whom the demand is directed in the case of a natural person;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person or persons responsible for answering each interrogatory, in the case of a person other than a natural person.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100.</w:t>
      </w:r>
      <w:r>
        <w:rPr>
          <w:rFonts w:eastAsia="MS Mincho" w:cs="Times New Roman"/>
          <w:szCs w:val="20"/>
        </w:rPr>
        <w:tab/>
        <w:t>(A)</w:t>
      </w:r>
      <w:r>
        <w:rPr>
          <w:rFonts w:eastAsia="MS Mincho" w:cs="Times New Roman"/>
          <w:szCs w:val="20"/>
        </w:rPr>
        <w:tab/>
        <w:t>The examination of a person pursuant to a civil investigative demand for oral testimony served pursuant to Section 15</w:t>
      </w:r>
      <w:r>
        <w:rPr>
          <w:rFonts w:eastAsia="MS Mincho" w:cs="Times New Roman"/>
          <w:szCs w:val="20"/>
        </w:rPr>
        <w:noBreakHyphen/>
        <w:t>85</w:t>
      </w:r>
      <w:r>
        <w:rPr>
          <w:rFonts w:eastAsia="MS Mincho" w:cs="Times New Roman"/>
          <w:szCs w:val="20"/>
        </w:rPr>
        <w:noBreakHyphen/>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oral testimony of a person taken pursuant to a civil investigative demand served pursuant to Section 15</w:t>
      </w:r>
      <w:r>
        <w:rPr>
          <w:rFonts w:eastAsia="MS Mincho" w:cs="Times New Roman"/>
          <w:szCs w:val="20"/>
        </w:rPr>
        <w:noBreakHyphen/>
        <w:t>85</w:t>
      </w:r>
      <w:r>
        <w:rPr>
          <w:rFonts w:eastAsia="MS Mincho" w:cs="Times New Roman"/>
          <w:szCs w:val="20"/>
        </w:rPr>
        <w:noBreakHyphen/>
        <w:t>60 must be taken in the county within which the person resides, is found, or transacts business, or in another place as may be agreed upon by the investigator conducting the examination and the person.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Upon payment of reasonable charges, the investigator shall furnish a copy of the transcript to the witness only, except that the Attorney General may, for good cause, limit the witness to inspection of the official transcript of his testimony.</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A person compelled to appear for oral testimony pursuant to a civil investigative demand issued pursuant to Section 15</w:t>
      </w:r>
      <w:r>
        <w:rPr>
          <w:rFonts w:eastAsia="MS Mincho" w:cs="Times New Roman"/>
          <w:szCs w:val="20"/>
        </w:rPr>
        <w:noBreakHyphen/>
        <w:t>85</w:t>
      </w:r>
      <w:r>
        <w:rPr>
          <w:rFonts w:eastAsia="MS Mincho" w:cs="Times New Roman"/>
          <w:szCs w:val="20"/>
        </w:rPr>
        <w:noBreakHyphen/>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self-incrimination.  If the person refuses to answer a question, a petition may be filed in circuit court pursuant to Section 15</w:t>
      </w:r>
      <w:r>
        <w:rPr>
          <w:rFonts w:eastAsia="MS Mincho" w:cs="Times New Roman"/>
          <w:szCs w:val="20"/>
        </w:rPr>
        <w:noBreakHyphen/>
        <w:t>85</w:t>
      </w:r>
      <w:r>
        <w:rPr>
          <w:rFonts w:eastAsia="MS Mincho" w:cs="Times New Roman"/>
          <w:szCs w:val="20"/>
        </w:rPr>
        <w:noBreakHyphen/>
        <w:t>120(A) for an order compelling the person to answer the question.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A person appearing for oral testimony pursuant to a civil investigative demand issued pursuant to Section 15</w:t>
      </w:r>
      <w:r>
        <w:rPr>
          <w:rFonts w:eastAsia="MS Mincho" w:cs="Times New Roman"/>
          <w:szCs w:val="20"/>
        </w:rPr>
        <w:noBreakHyphen/>
        <w:t>85</w:t>
      </w:r>
      <w:r>
        <w:rPr>
          <w:rFonts w:eastAsia="MS Mincho" w:cs="Times New Roman"/>
          <w:szCs w:val="20"/>
        </w:rPr>
        <w:noBreakHyphen/>
        <w:t>60 is entitled to the same fees and allowances which are paid to witnesses in the circuit court.</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110.</w:t>
      </w:r>
      <w:r>
        <w:rPr>
          <w:rFonts w:eastAsia="MS Mincho" w:cs="Times New Roman"/>
          <w:szCs w:val="20"/>
        </w:rPr>
        <w:tab/>
        <w:t>(A)</w:t>
      </w:r>
      <w:r>
        <w:rPr>
          <w:rFonts w:eastAsia="MS Mincho" w:cs="Times New Roman"/>
          <w:szCs w:val="20"/>
        </w:rPr>
        <w:tab/>
        <w:t>The Attorney General shall serve as custodian of documentary material, answers to interrogatories, and transcripts of oral testimony received pursuant to this chapter.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Disclosure of information to another entity is allowed only upon application, made by the Attorney General to a circuit court, showing substantial need for the use of the information by the agency in furtherance of its statutory responsibilities. </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While in the possession of the Attorney General and under reasonable terms and conditions as the Attorney General shall prescribe: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documentary material and answers to interrogatories must be available for examination by the person who produced the material or answers, or by a representative for that person authorized by that person to examine the material and answers; 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transcripts of oral testimony must be available for examination by the person who produced the testimony, or by a representative of that person authorized by that person to examine the transcripts.</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120.</w:t>
      </w:r>
      <w:r>
        <w:rPr>
          <w:rFonts w:eastAsia="MS Mincho" w:cs="Times New Roman"/>
          <w:szCs w:val="20"/>
        </w:rPr>
        <w:tab/>
        <w:t>(A)</w:t>
      </w:r>
      <w:r>
        <w:rPr>
          <w:rFonts w:eastAsia="MS Mincho" w:cs="Times New Roman"/>
          <w:szCs w:val="20"/>
        </w:rPr>
        <w:tab/>
        <w:t>When a person fails to comply with a civil investigative demand issued pursuant to Section 15</w:t>
      </w:r>
      <w:r>
        <w:rPr>
          <w:rFonts w:eastAsia="MS Mincho" w:cs="Times New Roman"/>
          <w:szCs w:val="20"/>
        </w:rPr>
        <w:noBreakHyphen/>
        <w:t>85</w:t>
      </w:r>
      <w:r>
        <w:rPr>
          <w:rFonts w:eastAsia="MS Mincho" w:cs="Times New Roman"/>
          <w:szCs w:val="20"/>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person who has received a civil investigative demand issued pursuant to Section 15</w:t>
      </w:r>
      <w:r>
        <w:rPr>
          <w:rFonts w:eastAsia="MS Mincho" w:cs="Times New Roman"/>
          <w:szCs w:val="20"/>
        </w:rPr>
        <w:noBreakHyphen/>
        <w:t>85</w:t>
      </w:r>
      <w:r>
        <w:rPr>
          <w:rFonts w:eastAsia="MS Mincho" w:cs="Times New Roman"/>
          <w:szCs w:val="20"/>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twenty days after the date of service of the civil investigative demand, or at a time before the return date specified in the demand, whichever date is earlier;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longer period as may be prescribed in writing by an investigator identified in the demand.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In the case of a civil investigative demand issued pursuant to Section 15</w:t>
      </w:r>
      <w:r>
        <w:rPr>
          <w:rFonts w:eastAsia="MS Mincho" w:cs="Times New Roman"/>
          <w:szCs w:val="20"/>
        </w:rPr>
        <w:noBreakHyphen/>
        <w:t>85</w:t>
      </w:r>
      <w:r>
        <w:rPr>
          <w:rFonts w:eastAsia="MS Mincho" w:cs="Times New Roman"/>
          <w:szCs w:val="20"/>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twenty days after the date of service of the civil investigative demand, or at a time before the return date specified in the demand, whichever date is earlier; 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longer period as may be prescribed in writing by an investigator identified in the demand.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At a time during which a custodian is in custody or control of documentary material or answers to interrogatories produced, or transcripts of oral testimony given, by a person in compliance with a civil investigative demand issued pursuant to Section 15</w:t>
      </w:r>
      <w:r>
        <w:rPr>
          <w:rFonts w:eastAsia="MS Mincho" w:cs="Times New Roman"/>
          <w:szCs w:val="20"/>
        </w:rPr>
        <w:noBreakHyphen/>
        <w:t>85</w:t>
      </w:r>
      <w:r>
        <w:rPr>
          <w:rFonts w:eastAsia="MS Mincho" w:cs="Times New Roman"/>
          <w:szCs w:val="20"/>
        </w:rPr>
        <w:noBreakHyphen/>
        <w:t>60, the person, and in the case of an express demand for a product of discovery, the person from whom discovery was obtained, may file, in the circuit court of the county within which the office of the custodian is situated, and serve upon such custodian, a petition for an order of the court to require the performance by the custodian of a duty imposed upon the custodian by this chapter.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matters.  A disobedience of a final order entered pursuant to this section by a court is punished as a contempt of the court.</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Documentary material, answers to written interrogatories, or oral testimony provided pursuant to a civil investigative demand issued pursuant to Section 15</w:t>
      </w:r>
      <w:r>
        <w:rPr>
          <w:rFonts w:eastAsia="MS Mincho" w:cs="Times New Roman"/>
          <w:szCs w:val="20"/>
        </w:rPr>
        <w:noBreakHyphen/>
        <w:t>85</w:t>
      </w:r>
      <w:r>
        <w:rPr>
          <w:rFonts w:eastAsia="MS Mincho" w:cs="Times New Roman"/>
          <w:szCs w:val="20"/>
        </w:rPr>
        <w:noBreakHyphen/>
        <w:t>60 is exempt from disclosure under the South Carolina Administrative Procedures Act.</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130.</w:t>
      </w:r>
      <w:r>
        <w:rPr>
          <w:rFonts w:eastAsia="MS Mincho" w:cs="Times New Roman"/>
          <w:szCs w:val="20"/>
        </w:rPr>
        <w:tab/>
        <w:t>(A)</w:t>
      </w:r>
      <w:r>
        <w:rPr>
          <w:rFonts w:eastAsia="MS Mincho" w:cs="Times New Roman"/>
          <w:szCs w:val="20"/>
        </w:rPr>
        <w:tab/>
        <w:t>There is created the State False Claims Act Investigation and Prosecution Fund as a special fund in the State Treasury, to be administered by the Attorney General. All proceeds of an action or settlement of a claim brought pursuant to this chapter must be deposited in the fund.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Monies in the fund must be allocated as follows: </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twenty-five percent of the monies must be retained by the Attorney General; and</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remaining seventy-five percent of the monies in the fund must be used for payment of awards, calculated on the full amount, to Qui Tam plaintiffs and as otherwise specified in this chapter. </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ahoma"/>
          <w:szCs w:val="16"/>
        </w:rPr>
      </w:pPr>
      <w:r>
        <w:rPr>
          <w:rFonts w:eastAsia="MS Mincho" w:cs="Times New Roman"/>
          <w:szCs w:val="20"/>
        </w:rPr>
        <w:tab/>
      </w:r>
      <w:r>
        <w:rPr>
          <w:rFonts w:eastAsia="Times New Roman" w:cs="Tahoma"/>
          <w:szCs w:val="16"/>
        </w:rPr>
        <w:t>(C)</w:t>
      </w:r>
      <w:r>
        <w:rPr>
          <w:rFonts w:eastAsia="Times New Roman" w:cs="Tahoma"/>
          <w:szCs w:val="16"/>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ahoma"/>
          <w:szCs w:val="16"/>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140.</w:t>
      </w:r>
      <w:r>
        <w:rPr>
          <w:rFonts w:eastAsia="MS Mincho" w:cs="Times New Roman"/>
          <w:szCs w:val="20"/>
        </w:rPr>
        <w:tab/>
        <w:t>The Rules of Civil Procedure apply to all proceedings pursuant to this chapter, except when inconsistent with the provisions of this chapter.”</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217BB1" w:rsidRDefault="00217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This act takes effect upon approval by the Governor.</w:t>
      </w:r>
    </w:p>
    <w:p w:rsidR="00217BB1" w:rsidRDefault="005C5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217BB1" w:rsidSect="00217BB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BB1" w:rsidRDefault="005C5F8F">
      <w:r>
        <w:separator/>
      </w:r>
    </w:p>
  </w:endnote>
  <w:endnote w:type="continuationSeparator" w:id="0">
    <w:p w:rsidR="00217BB1" w:rsidRDefault="005C5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49FC94-222F-4C71-8902-164AAAC743C9}"/>
    <w:embedBold r:id="rId2" w:fontKey="{10CDAB66-9F59-4DA3-9756-A31695808C4C}"/>
  </w:font>
  <w:font w:name="Calibri">
    <w:panose1 w:val="020F0502020204030204"/>
    <w:charset w:val="00"/>
    <w:family w:val="swiss"/>
    <w:pitch w:val="variable"/>
    <w:sig w:usb0="E10002FF" w:usb1="4000ACFF" w:usb2="00000009" w:usb3="00000000" w:csb0="0000019F" w:csb1="00000000"/>
    <w:embedRegular r:id="rId3" w:fontKey="{5948B34B-541F-4ED7-8995-130092198DC3}"/>
    <w:embedBold r:id="rId4" w:fontKey="{33FC563C-C06E-4D02-87AF-D30250B62480}"/>
  </w:font>
  <w:font w:name="Tahoma">
    <w:panose1 w:val="020B0604030504040204"/>
    <w:charset w:val="00"/>
    <w:family w:val="swiss"/>
    <w:pitch w:val="variable"/>
    <w:sig w:usb0="21002A87" w:usb1="80000000" w:usb2="00000008" w:usb3="00000000" w:csb0="000101FF" w:csb1="00000000"/>
    <w:embedRegular r:id="rId5" w:fontKey="{A6F02F52-EB0B-44AA-A1E9-D6A631790628}"/>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6" w:fontKey="{952A1179-0C0F-496C-A923-05A6B8D6C0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BB1" w:rsidRDefault="005C5F8F">
    <w:pPr>
      <w:pStyle w:val="Footer"/>
      <w:tabs>
        <w:tab w:val="clear" w:pos="4680"/>
        <w:tab w:val="clear" w:pos="9360"/>
        <w:tab w:val="center" w:pos="2995"/>
      </w:tabs>
      <w:spacing w:before="120"/>
    </w:pPr>
    <w:r>
      <w:t>[320]</w:t>
    </w:r>
    <w:r>
      <w:tab/>
    </w:r>
    <w:r w:rsidR="00DE40D3">
      <w:fldChar w:fldCharType="begin"/>
    </w:r>
    <w:r w:rsidR="00DE40D3">
      <w:instrText xml:space="preserve"> PAGE  \* MERGEFORMAT </w:instrText>
    </w:r>
    <w:r w:rsidR="00DE40D3">
      <w:fldChar w:fldCharType="separate"/>
    </w:r>
    <w:r w:rsidR="00DE40D3">
      <w:rPr>
        <w:noProof/>
      </w:rPr>
      <w:t>1</w:t>
    </w:r>
    <w:r w:rsidR="00DE40D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BB1" w:rsidRDefault="005C5F8F">
      <w:r>
        <w:separator/>
      </w:r>
    </w:p>
  </w:footnote>
  <w:footnote w:type="continuationSeparator" w:id="0">
    <w:p w:rsidR="00217BB1" w:rsidRDefault="005C5F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17BB1"/>
    <w:rsid w:val="00217BB1"/>
    <w:rsid w:val="00370C0C"/>
    <w:rsid w:val="0057770C"/>
    <w:rsid w:val="005C5F8F"/>
    <w:rsid w:val="00863DAC"/>
    <w:rsid w:val="009C15EA"/>
    <w:rsid w:val="00DE4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3642547-7BD6-4342-AF8C-710984416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B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17BB1"/>
    <w:rPr>
      <w:szCs w:val="21"/>
    </w:rPr>
  </w:style>
  <w:style w:type="character" w:customStyle="1" w:styleId="PlainTextChar">
    <w:name w:val="Plain Text Char"/>
    <w:basedOn w:val="DefaultParagraphFont"/>
    <w:link w:val="PlainText"/>
    <w:uiPriority w:val="99"/>
    <w:rsid w:val="00217BB1"/>
    <w:rPr>
      <w:szCs w:val="21"/>
    </w:rPr>
  </w:style>
  <w:style w:type="paragraph" w:styleId="BodyText">
    <w:name w:val="Body Text"/>
    <w:basedOn w:val="Normal"/>
    <w:link w:val="BodyTextChar"/>
    <w:uiPriority w:val="99"/>
    <w:locked/>
    <w:rsid w:val="00217BB1"/>
  </w:style>
  <w:style w:type="character" w:customStyle="1" w:styleId="BodyTextChar">
    <w:name w:val="Body Text Char"/>
    <w:basedOn w:val="DefaultParagraphFont"/>
    <w:link w:val="BodyText"/>
    <w:uiPriority w:val="99"/>
    <w:rsid w:val="00217BB1"/>
  </w:style>
  <w:style w:type="paragraph" w:styleId="BalloonText">
    <w:name w:val="Balloon Text"/>
    <w:next w:val="Normal"/>
    <w:link w:val="BalloonTextChar"/>
    <w:uiPriority w:val="99"/>
    <w:unhideWhenUsed/>
    <w:rsid w:val="00217BB1"/>
    <w:rPr>
      <w:rFonts w:cs="Tahoma"/>
      <w:szCs w:val="16"/>
    </w:rPr>
  </w:style>
  <w:style w:type="character" w:customStyle="1" w:styleId="BalloonTextChar">
    <w:name w:val="Balloon Text Char"/>
    <w:basedOn w:val="DefaultParagraphFont"/>
    <w:link w:val="BalloonText"/>
    <w:uiPriority w:val="99"/>
    <w:rsid w:val="00217BB1"/>
    <w:rPr>
      <w:rFonts w:cs="Tahoma"/>
      <w:szCs w:val="16"/>
    </w:rPr>
  </w:style>
  <w:style w:type="paragraph" w:styleId="NormalWeb">
    <w:name w:val="Normal (Web)"/>
    <w:basedOn w:val="Normal"/>
    <w:next w:val="Normal"/>
    <w:semiHidden/>
    <w:locked/>
    <w:rsid w:val="00217BB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17BB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17BB1"/>
    <w:rPr>
      <w:rFonts w:cs="Times New Roman"/>
    </w:rPr>
  </w:style>
  <w:style w:type="paragraph" w:styleId="Header">
    <w:name w:val="header"/>
    <w:basedOn w:val="Normal"/>
    <w:link w:val="HeaderChar"/>
    <w:uiPriority w:val="99"/>
    <w:semiHidden/>
    <w:unhideWhenUsed/>
    <w:locked/>
    <w:rsid w:val="00217BB1"/>
    <w:pPr>
      <w:tabs>
        <w:tab w:val="center" w:pos="4680"/>
        <w:tab w:val="right" w:pos="9360"/>
      </w:tabs>
    </w:pPr>
  </w:style>
  <w:style w:type="character" w:customStyle="1" w:styleId="HeaderChar">
    <w:name w:val="Header Char"/>
    <w:basedOn w:val="DefaultParagraphFont"/>
    <w:link w:val="Header"/>
    <w:uiPriority w:val="99"/>
    <w:semiHidden/>
    <w:rsid w:val="00217BB1"/>
  </w:style>
  <w:style w:type="character" w:styleId="LineNumber">
    <w:name w:val="line number"/>
    <w:basedOn w:val="DefaultParagraphFont"/>
    <w:uiPriority w:val="99"/>
    <w:semiHidden/>
    <w:unhideWhenUsed/>
    <w:locked/>
    <w:rsid w:val="00217BB1"/>
  </w:style>
  <w:style w:type="character" w:styleId="Hyperlink">
    <w:name w:val="Hyperlink"/>
    <w:basedOn w:val="DefaultParagraphFont"/>
    <w:uiPriority w:val="99"/>
    <w:unhideWhenUsed/>
    <w:locked/>
    <w:rsid w:val="00217B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0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7238</Words>
  <Characters>36672</Characters>
  <Application>Microsoft Office Word</Application>
  <DocSecurity>0</DocSecurity>
  <Lines>814</Lines>
  <Paragraphs>175</Paragraphs>
  <ScaleCrop>false</ScaleCrop>
  <Company>Project Management</Company>
  <LinksUpToDate>false</LinksUpToDate>
  <CharactersWithSpaces>44041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320: False Claims Act - South Carolina Legislature Online</dc:title>
  <dc:subject/>
  <dc:creator>NSC</dc:creator>
  <cp:keywords/>
  <dc:description/>
  <cp:lastModifiedBy>N Cumfer</cp:lastModifiedBy>
  <cp:revision>12</cp:revision>
  <dcterms:created xsi:type="dcterms:W3CDTF">2009-01-27T18:27:00Z</dcterms:created>
  <dcterms:modified xsi:type="dcterms:W3CDTF">2014-11-24T14:57:00Z</dcterms:modified>
</cp:coreProperties>
</file>