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7B2" w:rsidRDefault="001649C2">
      <w:pPr>
        <w:widowControl w:val="0"/>
        <w:jc w:val="center"/>
      </w:pPr>
      <w:bookmarkStart w:id="0" w:name="_GoBack"/>
      <w:bookmarkEnd w:id="0"/>
      <w:r>
        <w:rPr>
          <w:b/>
        </w:rPr>
        <w:t>South Carolina General Assembly</w:t>
      </w:r>
    </w:p>
    <w:p w:rsidR="00CC77B2" w:rsidRDefault="001649C2">
      <w:pPr>
        <w:widowControl w:val="0"/>
        <w:jc w:val="center"/>
      </w:pPr>
      <w:r>
        <w:t>118th Session, 2009-2010</w:t>
      </w:r>
    </w:p>
    <w:p w:rsidR="00CC77B2" w:rsidRDefault="00CC77B2">
      <w:pPr>
        <w:widowControl w:val="0"/>
        <w:jc w:val="left"/>
      </w:pPr>
    </w:p>
    <w:p w:rsidR="00CC77B2" w:rsidRDefault="001649C2">
      <w:pPr>
        <w:widowControl w:val="0"/>
        <w:jc w:val="left"/>
        <w:rPr>
          <w:b/>
        </w:rPr>
      </w:pPr>
      <w:r>
        <w:rPr>
          <w:b/>
        </w:rPr>
        <w:t>H. 3419</w:t>
      </w:r>
    </w:p>
    <w:p w:rsidR="00CC77B2" w:rsidRDefault="00CC77B2">
      <w:pPr>
        <w:widowControl w:val="0"/>
        <w:jc w:val="left"/>
        <w:rPr>
          <w:b/>
        </w:rPr>
      </w:pPr>
    </w:p>
    <w:p w:rsidR="00CC77B2" w:rsidRDefault="001649C2">
      <w:pPr>
        <w:widowControl w:val="0"/>
        <w:jc w:val="left"/>
      </w:pPr>
      <w:r>
        <w:rPr>
          <w:b/>
        </w:rPr>
        <w:t>STATUS INFORMATION</w:t>
      </w:r>
    </w:p>
    <w:p w:rsidR="00CC77B2" w:rsidRDefault="00CC77B2">
      <w:pPr>
        <w:widowControl w:val="0"/>
        <w:jc w:val="left"/>
      </w:pPr>
    </w:p>
    <w:p w:rsidR="00CC77B2" w:rsidRDefault="001649C2">
      <w:pPr>
        <w:widowControl w:val="0"/>
        <w:jc w:val="left"/>
      </w:pPr>
      <w:r>
        <w:t>General Bill</w:t>
      </w:r>
    </w:p>
    <w:p w:rsidR="00CC77B2" w:rsidRDefault="001649C2">
      <w:pPr>
        <w:widowControl w:val="0"/>
        <w:jc w:val="left"/>
      </w:pPr>
      <w:r>
        <w:t>Sponsors: Rep. Bales</w:t>
      </w:r>
    </w:p>
    <w:p w:rsidR="00CC77B2" w:rsidRDefault="001649C2">
      <w:pPr>
        <w:widowControl w:val="0"/>
        <w:jc w:val="left"/>
      </w:pPr>
      <w:r>
        <w:t>Document Path: l:\council\bills\bbm\9128htc09.docx</w:t>
      </w:r>
    </w:p>
    <w:p w:rsidR="00CC77B2" w:rsidRDefault="00CC77B2">
      <w:pPr>
        <w:widowControl w:val="0"/>
        <w:jc w:val="left"/>
      </w:pPr>
    </w:p>
    <w:p w:rsidR="00CC77B2" w:rsidRDefault="001649C2">
      <w:pPr>
        <w:widowControl w:val="0"/>
        <w:jc w:val="left"/>
      </w:pPr>
      <w:r>
        <w:t>Introduced in the House on February 3, 2009</w:t>
      </w:r>
    </w:p>
    <w:p w:rsidR="00CC77B2" w:rsidRDefault="001649C2">
      <w:pPr>
        <w:widowControl w:val="0"/>
        <w:jc w:val="left"/>
      </w:pPr>
      <w:r>
        <w:t xml:space="preserve">Currently residing in the House Committee on </w:t>
      </w:r>
      <w:r>
        <w:rPr>
          <w:b/>
        </w:rPr>
        <w:t>Ways and Means</w:t>
      </w:r>
    </w:p>
    <w:p w:rsidR="00CC77B2" w:rsidRDefault="00CC77B2">
      <w:pPr>
        <w:widowControl w:val="0"/>
        <w:jc w:val="left"/>
      </w:pPr>
    </w:p>
    <w:p w:rsidR="00CC77B2" w:rsidRDefault="001649C2">
      <w:pPr>
        <w:widowControl w:val="0"/>
        <w:jc w:val="left"/>
      </w:pPr>
      <w:r>
        <w:t>Summary: Property tax</w:t>
      </w:r>
    </w:p>
    <w:p w:rsidR="00CC77B2" w:rsidRDefault="00CC77B2">
      <w:pPr>
        <w:widowControl w:val="0"/>
        <w:jc w:val="left"/>
      </w:pPr>
    </w:p>
    <w:p w:rsidR="00CC77B2" w:rsidRDefault="00CC77B2">
      <w:pPr>
        <w:widowControl w:val="0"/>
        <w:jc w:val="left"/>
      </w:pPr>
    </w:p>
    <w:p w:rsidR="00CC77B2" w:rsidRDefault="001649C2">
      <w:pPr>
        <w:widowControl w:val="0"/>
        <w:tabs>
          <w:tab w:val="center" w:pos="590"/>
          <w:tab w:val="center" w:pos="1440"/>
          <w:tab w:val="left" w:pos="1872"/>
          <w:tab w:val="left" w:pos="9187"/>
        </w:tabs>
        <w:jc w:val="left"/>
      </w:pPr>
      <w:r>
        <w:rPr>
          <w:b/>
        </w:rPr>
        <w:t>HISTORY OF LEGISLATIVE ACTIONS</w:t>
      </w:r>
    </w:p>
    <w:p w:rsidR="00CC77B2" w:rsidRDefault="00CC77B2">
      <w:pPr>
        <w:widowControl w:val="0"/>
        <w:tabs>
          <w:tab w:val="center" w:pos="590"/>
          <w:tab w:val="center" w:pos="1440"/>
          <w:tab w:val="left" w:pos="1872"/>
          <w:tab w:val="left" w:pos="9187"/>
        </w:tabs>
        <w:jc w:val="left"/>
      </w:pPr>
    </w:p>
    <w:p w:rsidR="00CC77B2" w:rsidRDefault="001649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C77B2" w:rsidRDefault="001649C2">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327F25">
          <w:rPr>
            <w:rStyle w:val="Hyperlink"/>
          </w:rPr>
          <w:t>HJ</w:t>
        </w:r>
      </w:hyperlink>
      <w:r>
        <w:noBreakHyphen/>
        <w:t>10</w:t>
      </w:r>
    </w:p>
    <w:p w:rsidR="00CC77B2" w:rsidRDefault="001649C2">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Ways and Means</w:t>
      </w:r>
      <w:r>
        <w:t xml:space="preserve"> </w:t>
      </w:r>
      <w:hyperlink r:id="rId8" w:history="1">
        <w:r w:rsidRPr="00327F25">
          <w:rPr>
            <w:rStyle w:val="Hyperlink"/>
          </w:rPr>
          <w:t>HJ</w:t>
        </w:r>
      </w:hyperlink>
      <w:r>
        <w:noBreakHyphen/>
        <w:t>11</w:t>
      </w:r>
    </w:p>
    <w:p w:rsidR="00CC77B2" w:rsidRDefault="00CC77B2">
      <w:pPr>
        <w:widowControl w:val="0"/>
        <w:tabs>
          <w:tab w:val="right" w:pos="1008"/>
          <w:tab w:val="left" w:pos="1152"/>
          <w:tab w:val="left" w:pos="1872"/>
          <w:tab w:val="left" w:pos="9187"/>
        </w:tabs>
        <w:ind w:left="2088" w:hanging="2088"/>
        <w:jc w:val="left"/>
      </w:pPr>
    </w:p>
    <w:p w:rsidR="00CC77B2" w:rsidRDefault="00CC77B2">
      <w:pPr>
        <w:widowControl w:val="0"/>
        <w:tabs>
          <w:tab w:val="right" w:pos="1008"/>
          <w:tab w:val="left" w:pos="1152"/>
          <w:tab w:val="left" w:pos="1872"/>
          <w:tab w:val="left" w:pos="9187"/>
        </w:tabs>
        <w:ind w:left="2088" w:hanging="2088"/>
        <w:jc w:val="left"/>
      </w:pPr>
    </w:p>
    <w:p w:rsidR="00CC77B2" w:rsidRDefault="001649C2">
      <w:pPr>
        <w:widowControl w:val="0"/>
        <w:jc w:val="left"/>
      </w:pPr>
      <w:r>
        <w:rPr>
          <w:b/>
        </w:rPr>
        <w:t>VERSIONS OF THIS BILL</w:t>
      </w:r>
    </w:p>
    <w:p w:rsidR="00CC77B2" w:rsidRDefault="00CC77B2">
      <w:pPr>
        <w:widowControl w:val="0"/>
        <w:jc w:val="left"/>
      </w:pPr>
    </w:p>
    <w:p w:rsidR="00CC77B2" w:rsidRDefault="005F0439">
      <w:pPr>
        <w:widowControl w:val="0"/>
        <w:jc w:val="left"/>
      </w:pPr>
      <w:hyperlink r:id="rId9" w:history="1">
        <w:r w:rsidR="001649C2">
          <w:rPr>
            <w:rStyle w:val="Hyperlink"/>
          </w:rPr>
          <w:t>2/3/2009</w:t>
        </w:r>
      </w:hyperlink>
    </w:p>
    <w:p w:rsidR="00CC77B2" w:rsidRDefault="00CC77B2"/>
    <w:p w:rsidR="00CC77B2" w:rsidRDefault="00CC77B2">
      <w:pPr>
        <w:sectPr w:rsidR="00CC77B2">
          <w:pgSz w:w="12240" w:h="15840" w:code="1"/>
          <w:pgMar w:top="1080" w:right="1440" w:bottom="1080" w:left="1440" w:header="720" w:footer="720" w:gutter="0"/>
          <w:cols w:space="720"/>
          <w:noEndnote/>
          <w:docGrid w:linePitch="360"/>
        </w:sectPr>
      </w:pPr>
    </w:p>
    <w:p w:rsidR="00CC77B2" w:rsidRDefault="00CC77B2">
      <w:pPr>
        <w:pStyle w:val="BillDots"/>
      </w:pPr>
    </w:p>
    <w:p w:rsidR="00CC77B2" w:rsidRDefault="00CC77B2">
      <w:pPr>
        <w:pStyle w:val="Numbersforbill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ASSESSMENT RATIOS, AND VALUATION OF PROPERTY FOR PURPOSES OF THE PROPERTY TAX, SO AS TO ALLOW THE AUDITOR TO EXTEND THE DEADLINE FOR FILING THE APPLICATION FOR THE FOUR PERCENT ASSESSMENT RATIO FOR OWNER</w:t>
      </w:r>
      <w:r>
        <w:noBreakHyphen/>
        <w:t>OCCUPIED PROPERTY AND THE APPLICATION FOR AGRICULTURAL USE VALUE AND TO ELIMINATE THE REQUIREMENT THAT AN EXTENSION MAY BE GRANTED ONLY ON A SHOWING OF REASONABLE CAUSE.</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 Section 12</w:t>
      </w:r>
      <w:r>
        <w:noBreakHyphen/>
        <w:t>43</w:t>
      </w:r>
      <w:r>
        <w:noBreakHyphen/>
        <w:t>220(c)(2)(viii) of the 1976 Code is amended to read:</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“(viii)</w:t>
      </w:r>
      <w:r>
        <w:tab/>
        <w:t xml:space="preserve">Failure to file within the prescribed time constitutes abandonment of the owner’s right for this classification for the current tax year, but the </w:t>
      </w:r>
      <w:r>
        <w:rPr>
          <w:strike/>
        </w:rPr>
        <w:t>local taxing authority</w:t>
      </w:r>
      <w:r>
        <w:rPr>
          <w:u w:val="single"/>
        </w:rPr>
        <w:t>auditor</w:t>
      </w:r>
      <w:r>
        <w:t xml:space="preserve"> may extend the time for filing </w:t>
      </w:r>
      <w:r>
        <w:rPr>
          <w:strike/>
        </w:rPr>
        <w:t>upon a showing satisfactory to it that the person had reasonable cause for not filing before the first penalty date</w:t>
      </w:r>
      <w:r>
        <w:t>.”</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12</w:t>
      </w:r>
      <w:r>
        <w:noBreakHyphen/>
        <w:t>43</w:t>
      </w:r>
      <w:r>
        <w:noBreakHyphen/>
        <w:t>220(d)(3) of the 1976 Code is amended to read:</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w:t>
      </w:r>
      <w:r>
        <w:lastRenderedPageBreak/>
        <w:t xml:space="preserve">assessment must be made to the assessor of the county in which the agricultural real property is located, on forms provided by the county and approved by the department and a failure to apply constitutes a waiver of the special assessment for that year.  The </w:t>
      </w:r>
      <w:r>
        <w:rPr>
          <w:strike/>
        </w:rPr>
        <w:t>governing body</w:t>
      </w:r>
      <w:r>
        <w:rPr>
          <w:u w:val="single"/>
        </w:rPr>
        <w:t>auditor</w:t>
      </w:r>
      <w:r>
        <w:t xml:space="preserve"> may extend the time for filing </w:t>
      </w:r>
      <w:r>
        <w:rPr>
          <w:strike/>
        </w:rPr>
        <w:t>upon a showing satisfactory to it that the person had reasonable cause for not filing on or before the first penalty date</w:t>
      </w:r>
      <w:r>
        <w:t>.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w:t>
      </w:r>
      <w:r>
        <w:noBreakHyphen/>
        <w:t>half of one percent a month must be paid on the difference between the amount that was paid and the amount that should have been paid, but not less than thirty dollars nor more than the current year’s taxes.”</w:t>
      </w:r>
    </w:p>
    <w:p w:rsidR="00CC77B2" w:rsidRDefault="00C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77B2" w:rsidRDefault="0016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77B2" w:rsidRDefault="00CC77B2">
      <w:pPr>
        <w:suppressAutoHyphens/>
      </w:pPr>
    </w:p>
    <w:sectPr w:rsidR="00CC77B2" w:rsidSect="00CC77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7B2" w:rsidRDefault="001649C2">
      <w:r>
        <w:separator/>
      </w:r>
    </w:p>
  </w:endnote>
  <w:endnote w:type="continuationSeparator" w:id="0">
    <w:p w:rsidR="00CC77B2" w:rsidRDefault="0016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392910-C891-454D-9CEC-9E856E232A1E}"/>
    <w:embedBold r:id="rId2" w:fontKey="{B6BDCDF5-94CD-4351-B2EF-722693A17197}"/>
  </w:font>
  <w:font w:name="Calibri">
    <w:panose1 w:val="020F0502020204030204"/>
    <w:charset w:val="00"/>
    <w:family w:val="swiss"/>
    <w:pitch w:val="variable"/>
    <w:sig w:usb0="E10002FF" w:usb1="4000ACFF" w:usb2="00000009" w:usb3="00000000" w:csb0="0000019F" w:csb1="00000000"/>
    <w:embedRegular r:id="rId3" w:fontKey="{497D4625-400C-4552-8972-2AF433760CC2}"/>
  </w:font>
  <w:font w:name="Cambria">
    <w:panose1 w:val="02040503050406030204"/>
    <w:charset w:val="00"/>
    <w:family w:val="roman"/>
    <w:pitch w:val="variable"/>
    <w:sig w:usb0="E00002FF" w:usb1="400004FF" w:usb2="00000000" w:usb3="00000000" w:csb0="0000019F" w:csb1="00000000"/>
    <w:embedRegular r:id="rId4" w:fontKey="{B03C7ADC-5478-47C2-B6FB-58C1B18AA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B2" w:rsidRDefault="001649C2">
    <w:pPr>
      <w:pStyle w:val="Footer"/>
      <w:tabs>
        <w:tab w:val="clear" w:pos="4680"/>
        <w:tab w:val="clear" w:pos="9360"/>
        <w:tab w:val="center" w:pos="2995"/>
      </w:tabs>
      <w:spacing w:before="120"/>
    </w:pPr>
    <w:r>
      <w:t>[3419]</w:t>
    </w:r>
    <w:r>
      <w:tab/>
    </w:r>
    <w:r w:rsidR="005F0439">
      <w:fldChar w:fldCharType="begin"/>
    </w:r>
    <w:r w:rsidR="005F0439">
      <w:instrText xml:space="preserve"> PAGE  \* MERGEFORMAT </w:instrText>
    </w:r>
    <w:r w:rsidR="005F0439">
      <w:fldChar w:fldCharType="separate"/>
    </w:r>
    <w:r w:rsidR="005F0439">
      <w:rPr>
        <w:noProof/>
      </w:rPr>
      <w:t>1</w:t>
    </w:r>
    <w:r w:rsidR="005F04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7B2" w:rsidRDefault="001649C2">
      <w:r>
        <w:separator/>
      </w:r>
    </w:p>
  </w:footnote>
  <w:footnote w:type="continuationSeparator" w:id="0">
    <w:p w:rsidR="00CC77B2" w:rsidRDefault="001649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28HTC09"/>
    <w:docVar w:name="CoverBillType" w:val="b"/>
    <w:docVar w:name="docpath" w:val="L:\Council\bills\BBM\9128HTC09.DOCX"/>
    <w:docVar w:name="dvBillNumber" w:val="3419"/>
    <w:docVar w:name="dvBillNumberPrefix" w:val="H. "/>
    <w:docVar w:name="dvOriginalBody" w:val="House"/>
    <w:docVar w:name="dvSteno" w:val="BBM"/>
    <w:docVar w:name="NameofBody" w:val="h"/>
    <w:docVar w:name="vgroup2" w:val="Council"/>
  </w:docVars>
  <w:rsids>
    <w:rsidRoot w:val="00CC77B2"/>
    <w:rsid w:val="0004461C"/>
    <w:rsid w:val="001649C2"/>
    <w:rsid w:val="00327F25"/>
    <w:rsid w:val="005F0439"/>
    <w:rsid w:val="00A1305F"/>
    <w:rsid w:val="00CC77B2"/>
    <w:rsid w:val="00EE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DC67A9-9C60-4E59-9A7A-280D4AB5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7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C77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7B2"/>
    <w:rPr>
      <w:rFonts w:eastAsia="Times New Roman" w:cs="Times New Roman"/>
      <w:b/>
      <w:sz w:val="30"/>
      <w:szCs w:val="20"/>
    </w:rPr>
  </w:style>
  <w:style w:type="paragraph" w:styleId="Header">
    <w:name w:val="header"/>
    <w:basedOn w:val="Normal"/>
    <w:link w:val="HeaderChar"/>
    <w:uiPriority w:val="99"/>
    <w:semiHidden/>
    <w:unhideWhenUsed/>
    <w:rsid w:val="00CC77B2"/>
    <w:pPr>
      <w:tabs>
        <w:tab w:val="center" w:pos="4320"/>
        <w:tab w:val="right" w:pos="8640"/>
      </w:tabs>
    </w:pPr>
  </w:style>
  <w:style w:type="character" w:customStyle="1" w:styleId="HeaderChar">
    <w:name w:val="Header Char"/>
    <w:basedOn w:val="DefaultParagraphFont"/>
    <w:link w:val="Header"/>
    <w:uiPriority w:val="99"/>
    <w:semiHidden/>
    <w:rsid w:val="00CC77B2"/>
    <w:rPr>
      <w:rFonts w:eastAsia="Times New Roman" w:cs="Times New Roman"/>
      <w:szCs w:val="20"/>
    </w:rPr>
  </w:style>
  <w:style w:type="paragraph" w:styleId="Footer">
    <w:name w:val="footer"/>
    <w:basedOn w:val="Normal"/>
    <w:link w:val="FooterChar"/>
    <w:uiPriority w:val="99"/>
    <w:unhideWhenUsed/>
    <w:rsid w:val="00CC77B2"/>
    <w:pPr>
      <w:tabs>
        <w:tab w:val="center" w:pos="4680"/>
        <w:tab w:val="right" w:pos="9360"/>
      </w:tabs>
    </w:pPr>
  </w:style>
  <w:style w:type="character" w:customStyle="1" w:styleId="FooterChar">
    <w:name w:val="Footer Char"/>
    <w:basedOn w:val="DefaultParagraphFont"/>
    <w:link w:val="Footer"/>
    <w:uiPriority w:val="99"/>
    <w:rsid w:val="00CC77B2"/>
    <w:rPr>
      <w:rFonts w:eastAsia="Times New Roman" w:cs="Times New Roman"/>
      <w:szCs w:val="20"/>
    </w:rPr>
  </w:style>
  <w:style w:type="character" w:styleId="PageNumber">
    <w:name w:val="page number"/>
    <w:basedOn w:val="DefaultParagraphFont"/>
    <w:uiPriority w:val="99"/>
    <w:semiHidden/>
    <w:unhideWhenUsed/>
    <w:rsid w:val="00CC77B2"/>
  </w:style>
  <w:style w:type="character" w:styleId="LineNumber">
    <w:name w:val="line number"/>
    <w:basedOn w:val="DefaultParagraphFont"/>
    <w:uiPriority w:val="99"/>
    <w:semiHidden/>
    <w:unhideWhenUsed/>
    <w:rsid w:val="00CC77B2"/>
  </w:style>
  <w:style w:type="paragraph" w:customStyle="1" w:styleId="BillDots">
    <w:name w:val="Bill Dots"/>
    <w:basedOn w:val="Normal"/>
    <w:qFormat/>
    <w:rsid w:val="00CC77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C77B2"/>
    <w:pPr>
      <w:tabs>
        <w:tab w:val="right" w:pos="5904"/>
      </w:tabs>
    </w:pPr>
  </w:style>
  <w:style w:type="character" w:styleId="Hyperlink">
    <w:name w:val="Hyperlink"/>
    <w:basedOn w:val="DefaultParagraphFont"/>
    <w:uiPriority w:val="99"/>
    <w:unhideWhenUsed/>
    <w:rsid w:val="00CC7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9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59FEE-9979-439F-B875-1BB674E6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2488</Characters>
  <Application>Microsoft Office Word</Application>
  <DocSecurity>0</DocSecurity>
  <Lines>90</Lines>
  <Paragraphs>25</Paragraphs>
  <ScaleCrop>false</ScaleCrop>
  <Company> </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3419: Property tax - South Carolina Legislature Online</dc:title>
  <dc:subject/>
  <dc:creator>Brenda Melton</dc:creator>
  <cp:keywords/>
  <dc:description/>
  <cp:lastModifiedBy>N Cumfer</cp:lastModifiedBy>
  <cp:revision>8</cp:revision>
  <dcterms:created xsi:type="dcterms:W3CDTF">2009-02-03T18:54:00Z</dcterms:created>
  <dcterms:modified xsi:type="dcterms:W3CDTF">2014-11-24T16:06:00Z</dcterms:modified>
</cp:coreProperties>
</file>