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A62" w:rsidRDefault="00794E37">
      <w:pPr>
        <w:widowControl w:val="0"/>
        <w:jc w:val="center"/>
      </w:pPr>
      <w:bookmarkStart w:id="0" w:name="_GoBack"/>
      <w:bookmarkEnd w:id="0"/>
      <w:r>
        <w:rPr>
          <w:b/>
        </w:rPr>
        <w:t>South Carolina General Assembly</w:t>
      </w:r>
    </w:p>
    <w:p w:rsidR="00132A62" w:rsidRDefault="00794E37">
      <w:pPr>
        <w:widowControl w:val="0"/>
        <w:jc w:val="center"/>
      </w:pPr>
      <w:r>
        <w:t>118th Session, 2009-2010</w:t>
      </w:r>
    </w:p>
    <w:p w:rsidR="00132A62" w:rsidRDefault="00132A62">
      <w:pPr>
        <w:widowControl w:val="0"/>
        <w:jc w:val="left"/>
      </w:pPr>
    </w:p>
    <w:p w:rsidR="00132A62" w:rsidRDefault="00794E37">
      <w:pPr>
        <w:widowControl w:val="0"/>
        <w:jc w:val="left"/>
        <w:rPr>
          <w:b/>
        </w:rPr>
      </w:pPr>
      <w:r>
        <w:rPr>
          <w:b/>
        </w:rPr>
        <w:t>H. 3486</w:t>
      </w:r>
    </w:p>
    <w:p w:rsidR="00132A62" w:rsidRDefault="00132A62">
      <w:pPr>
        <w:widowControl w:val="0"/>
        <w:jc w:val="left"/>
        <w:rPr>
          <w:b/>
        </w:rPr>
      </w:pPr>
    </w:p>
    <w:p w:rsidR="00132A62" w:rsidRDefault="00794E37">
      <w:pPr>
        <w:widowControl w:val="0"/>
        <w:jc w:val="left"/>
      </w:pPr>
      <w:r>
        <w:rPr>
          <w:b/>
        </w:rPr>
        <w:t>STATUS INFORMATION</w:t>
      </w:r>
    </w:p>
    <w:p w:rsidR="00132A62" w:rsidRDefault="00132A62">
      <w:pPr>
        <w:widowControl w:val="0"/>
        <w:jc w:val="left"/>
      </w:pPr>
    </w:p>
    <w:p w:rsidR="00132A62" w:rsidRDefault="00794E37">
      <w:pPr>
        <w:widowControl w:val="0"/>
        <w:jc w:val="left"/>
      </w:pPr>
      <w:r>
        <w:t>General Bill</w:t>
      </w:r>
    </w:p>
    <w:p w:rsidR="00132A62" w:rsidRDefault="00794E37">
      <w:pPr>
        <w:widowControl w:val="0"/>
        <w:jc w:val="left"/>
      </w:pPr>
      <w:r>
        <w:t>Sponsors: Rep. J.E. Smith</w:t>
      </w:r>
    </w:p>
    <w:p w:rsidR="00132A62" w:rsidRDefault="00794E37">
      <w:pPr>
        <w:widowControl w:val="0"/>
        <w:jc w:val="left"/>
      </w:pPr>
      <w:r>
        <w:t>Document Path: l:\council\bills\ggs\22221mm09.docx</w:t>
      </w:r>
    </w:p>
    <w:p w:rsidR="00132A62" w:rsidRDefault="00794E37">
      <w:pPr>
        <w:widowControl w:val="0"/>
        <w:jc w:val="left"/>
      </w:pPr>
      <w:r>
        <w:t>Companion/Similar bill(s): 3470, 3584</w:t>
      </w:r>
    </w:p>
    <w:p w:rsidR="00132A62" w:rsidRDefault="00132A62">
      <w:pPr>
        <w:widowControl w:val="0"/>
        <w:jc w:val="left"/>
      </w:pPr>
    </w:p>
    <w:p w:rsidR="00132A62" w:rsidRDefault="00794E37">
      <w:pPr>
        <w:widowControl w:val="0"/>
        <w:jc w:val="left"/>
      </w:pPr>
      <w:r>
        <w:t>Introduced in the House on February 10, 2009</w:t>
      </w:r>
    </w:p>
    <w:p w:rsidR="00132A62" w:rsidRDefault="00794E37">
      <w:pPr>
        <w:widowControl w:val="0"/>
        <w:jc w:val="left"/>
      </w:pPr>
      <w:r>
        <w:t xml:space="preserve">Currently residing in the House Committee on </w:t>
      </w:r>
      <w:r>
        <w:rPr>
          <w:b/>
        </w:rPr>
        <w:t>Ways and Means</w:t>
      </w:r>
    </w:p>
    <w:p w:rsidR="00132A62" w:rsidRDefault="00132A62">
      <w:pPr>
        <w:widowControl w:val="0"/>
        <w:jc w:val="left"/>
      </w:pPr>
    </w:p>
    <w:p w:rsidR="00132A62" w:rsidRDefault="00794E37">
      <w:pPr>
        <w:widowControl w:val="0"/>
        <w:jc w:val="left"/>
      </w:pPr>
      <w:r>
        <w:t>Summary: Cigarette tax</w:t>
      </w:r>
    </w:p>
    <w:p w:rsidR="00132A62" w:rsidRDefault="00132A62">
      <w:pPr>
        <w:widowControl w:val="0"/>
        <w:jc w:val="left"/>
      </w:pPr>
    </w:p>
    <w:p w:rsidR="00132A62" w:rsidRDefault="00132A62">
      <w:pPr>
        <w:widowControl w:val="0"/>
        <w:jc w:val="left"/>
      </w:pPr>
    </w:p>
    <w:p w:rsidR="00132A62" w:rsidRDefault="00794E37">
      <w:pPr>
        <w:widowControl w:val="0"/>
        <w:tabs>
          <w:tab w:val="center" w:pos="590"/>
          <w:tab w:val="center" w:pos="1440"/>
          <w:tab w:val="left" w:pos="1872"/>
          <w:tab w:val="left" w:pos="9187"/>
        </w:tabs>
        <w:jc w:val="left"/>
      </w:pPr>
      <w:r>
        <w:rPr>
          <w:b/>
        </w:rPr>
        <w:t>HISTORY OF LEGISLATIVE ACTIONS</w:t>
      </w:r>
    </w:p>
    <w:p w:rsidR="00132A62" w:rsidRDefault="00132A62">
      <w:pPr>
        <w:widowControl w:val="0"/>
        <w:tabs>
          <w:tab w:val="center" w:pos="590"/>
          <w:tab w:val="center" w:pos="1440"/>
          <w:tab w:val="left" w:pos="1872"/>
          <w:tab w:val="left" w:pos="9187"/>
        </w:tabs>
        <w:jc w:val="left"/>
      </w:pPr>
    </w:p>
    <w:p w:rsidR="00132A62" w:rsidRDefault="00794E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2A62" w:rsidRDefault="00794E37">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155F59">
          <w:rPr>
            <w:rStyle w:val="Hyperlink"/>
          </w:rPr>
          <w:t>HJ</w:t>
        </w:r>
      </w:hyperlink>
      <w:r>
        <w:noBreakHyphen/>
        <w:t>10</w:t>
      </w:r>
    </w:p>
    <w:p w:rsidR="00132A62" w:rsidRDefault="00794E37">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155F59">
          <w:rPr>
            <w:rStyle w:val="Hyperlink"/>
          </w:rPr>
          <w:t>HJ</w:t>
        </w:r>
      </w:hyperlink>
      <w:r>
        <w:noBreakHyphen/>
        <w:t>11</w:t>
      </w:r>
    </w:p>
    <w:p w:rsidR="00132A62" w:rsidRDefault="00132A62">
      <w:pPr>
        <w:widowControl w:val="0"/>
        <w:tabs>
          <w:tab w:val="right" w:pos="1008"/>
          <w:tab w:val="left" w:pos="1152"/>
          <w:tab w:val="left" w:pos="1872"/>
          <w:tab w:val="left" w:pos="9187"/>
        </w:tabs>
        <w:ind w:left="2088" w:hanging="2088"/>
        <w:jc w:val="left"/>
      </w:pPr>
    </w:p>
    <w:p w:rsidR="00132A62" w:rsidRDefault="00132A62">
      <w:pPr>
        <w:widowControl w:val="0"/>
        <w:tabs>
          <w:tab w:val="right" w:pos="1008"/>
          <w:tab w:val="left" w:pos="1152"/>
          <w:tab w:val="left" w:pos="1872"/>
          <w:tab w:val="left" w:pos="9187"/>
        </w:tabs>
        <w:ind w:left="2088" w:hanging="2088"/>
        <w:jc w:val="left"/>
      </w:pPr>
    </w:p>
    <w:p w:rsidR="00132A62" w:rsidRDefault="00794E37">
      <w:pPr>
        <w:widowControl w:val="0"/>
        <w:jc w:val="left"/>
      </w:pPr>
      <w:r>
        <w:rPr>
          <w:b/>
        </w:rPr>
        <w:t>VERSIONS OF THIS BILL</w:t>
      </w:r>
    </w:p>
    <w:p w:rsidR="00132A62" w:rsidRDefault="00132A62">
      <w:pPr>
        <w:widowControl w:val="0"/>
        <w:jc w:val="left"/>
      </w:pPr>
    </w:p>
    <w:p w:rsidR="00132A62" w:rsidRDefault="00B31855">
      <w:pPr>
        <w:widowControl w:val="0"/>
        <w:jc w:val="left"/>
      </w:pPr>
      <w:hyperlink r:id="rId9" w:history="1">
        <w:r w:rsidR="00794E37">
          <w:rPr>
            <w:rStyle w:val="Hyperlink"/>
          </w:rPr>
          <w:t>2/10/2009</w:t>
        </w:r>
      </w:hyperlink>
    </w:p>
    <w:p w:rsidR="00132A62" w:rsidRDefault="00132A62"/>
    <w:p w:rsidR="00132A62" w:rsidRDefault="00132A62">
      <w:pPr>
        <w:sectPr w:rsidR="00132A62">
          <w:pgSz w:w="12240" w:h="15840" w:code="1"/>
          <w:pgMar w:top="1080" w:right="1440" w:bottom="1080" w:left="1440" w:header="720" w:footer="720" w:gutter="0"/>
          <w:cols w:space="720"/>
          <w:noEndnote/>
          <w:docGrid w:linePitch="360"/>
        </w:sectPr>
      </w:pPr>
    </w:p>
    <w:p w:rsidR="00132A62" w:rsidRDefault="00132A62">
      <w:pPr>
        <w:pStyle w:val="BillDots"/>
      </w:pPr>
    </w:p>
    <w:p w:rsidR="00132A62" w:rsidRDefault="00132A62">
      <w:pPr>
        <w:pStyle w:val="Numbersforbill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b/>
          <w:bCs/>
        </w:rPr>
      </w:pPr>
      <w:bookmarkStart w:id="3" w:name="titletop"/>
      <w:bookmarkEnd w:id="3"/>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THAT WOULD RAISE THE TOTAL TAX FOR EACH PACK OF CIGARETTES TO THAT OF THE SOUTHEASTERN AVERAGE TAX FOR EACH PACK, TO PROVIDE FOR THE CREDITING OF THE REVENUE FROM THE SURTAX TO THE SMOKING PREVENTION AND CESSATION TRUST FUND, THE DEPARTMENT OF AGRICULTURE FOR MARKETING STATE</w:t>
      </w:r>
      <w:r>
        <w:rPr>
          <w:rFonts w:eastAsia="MS Mincho"/>
          <w:bCs/>
        </w:rPr>
        <w:noBreakHyphen/>
        <w:t xml:space="preserve">GROWN CROPS, THE MEDICAID TRUST FUND, AND THE </w:t>
      </w:r>
      <w:r>
        <w:rPr>
          <w:rFonts w:eastAsia="MS Mincho"/>
        </w:rPr>
        <w:t>HEALTH CARE</w:t>
      </w:r>
      <w:r>
        <w:rPr>
          <w:rFonts w:eastAsia="MS Mincho"/>
          <w:bCs/>
        </w:rPr>
        <w:t xml:space="preserve"> TRUST FUND, TO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MEDICAID TRUST FUND, THE </w:t>
      </w:r>
      <w:r>
        <w:rPr>
          <w:rFonts w:eastAsia="MS Mincho"/>
        </w:rPr>
        <w:t>HEALTH CARE</w:t>
      </w:r>
      <w:r>
        <w:rPr>
          <w:rFonts w:eastAsia="MS Mincho"/>
          <w:bCs/>
        </w:rPr>
        <w:t xml:space="preserve"> TRUST FUND, AND THE PALMETTO </w:t>
      </w:r>
      <w:r>
        <w:rPr>
          <w:rFonts w:eastAsia="MS Mincho"/>
        </w:rPr>
        <w:t>HEALTH CARE</w:t>
      </w:r>
      <w:r>
        <w:rPr>
          <w:rFonts w:eastAsia="MS Mincho"/>
          <w:bCs/>
        </w:rPr>
        <w:t xml:space="preserve"> SAFETY NET TRUST FUND, ALL SO AS TO RECEIVE DEPOSITS OF THE REVENUES FROM THE CIGARETTE SURTAX AS SPECIFIED; TO PROVIDE FOR USE OF THE MEDICAID TRUST FUND FOR MEDICAID SERVICES TO LOW INCOME FAMILIES WITH INCOMES UP TO ONE HUNDRED PERCENT OF THE PREVAILING POVERTY LEVEL, PROVIDE FOR ADDITIONAL COVERAGE FOR THE STATE CHILDREN’S HEALTH INSURANCE PROGRAM AND THE AGED, BLIND, AND DISABLED PROGRAM WITH ANY EXCESS FUNDS, AND TO PROVIDE FOR ANNUAL REPORTS ON THE MEDICAID TRUST FUND; BY ADDING CHAPTER 62 TO TITLE 38 SO AS TO CREATE AND </w:t>
      </w:r>
      <w:r>
        <w:rPr>
          <w:rFonts w:eastAsia="MS Mincho"/>
          <w:bCs/>
        </w:rPr>
        <w:lastRenderedPageBreak/>
        <w:t xml:space="preserve">ESTABLISH THE PALMETTO </w:t>
      </w:r>
      <w:r>
        <w:rPr>
          <w:rFonts w:eastAsia="MS Mincho"/>
        </w:rPr>
        <w:t>HEALTH CARE</w:t>
      </w:r>
      <w:r>
        <w:rPr>
          <w:rFonts w:eastAsia="MS Mincho"/>
          <w:bCs/>
        </w:rPr>
        <w:t xml:space="preserve"> PREMIUM ASSISTANCE PROGRAM, TO PROVIDE FOR PREMIUM ASSISTANCE IN THE AVERAGE AMOUNT OF TWO THOUSAND DOLLARS TO AN ELIGIBLE INDIVIDUAL TOWARD THE PURCHASE OF A QUALIFYING HEALTH INSURANCE PLAN, DESCRIBING ELIGIBILITY REQUIREMENTS AND THE CERTIFICATION PROCESS, DEFINING THE QUALIFYING INDIVIDUALLY OR EMPLOYER</w:t>
      </w:r>
      <w:r>
        <w:rPr>
          <w:rFonts w:eastAsia="MS Mincho"/>
          <w:bCs/>
        </w:rPr>
        <w:noBreakHyphen/>
        <w:t>SPONSORED INSURANCE PLANS, AND TO PROVIDE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TO ESTABLISH A SELF</w:t>
      </w:r>
      <w:r>
        <w:rPr>
          <w:rFonts w:eastAsia="MS Mincho"/>
          <w:bCs/>
        </w:rPr>
        <w:noBreakHyphen/>
        <w:t xml:space="preserve">SUSTAINING AND FINANCIALLY INDEPENDENT PORTION OF THE PREMIUM ASSISTANCE POOL, AND TO PROVIDE FOR ELIGIBILITY REQUIREMENTS, ADMINISTRATION, AND REPORTING BY THE DEPARTMENT OF INSURANCE AND OPERATING GUIDELINES; TO PROHIBIT THE EXCESSIVE PURCHASE OF CIGARETTES FOR RESALE IN ANTICIPATION OF THE APPLICATION OF THE SURTAX; AND TO CREATE A STUDY COMMITTEE ON </w:t>
      </w:r>
      <w:r>
        <w:rPr>
          <w:rFonts w:eastAsia="MS Mincho"/>
        </w:rPr>
        <w:t>HEALTH CARE</w:t>
      </w:r>
      <w:r>
        <w:rPr>
          <w:rFonts w:eastAsia="MS Mincho"/>
          <w:bCs/>
        </w:rPr>
        <w:t xml:space="preserve"> ACCESS AND AFFORDABILITY, TO PROVIDE FOR ITS MEMBERSHIP, AND REQUIRE A REPORT ON ITS FINDINGS AND RECOMMENDATIONS BY JANUARY 1, 2012.</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2010, there is imposed a surtax on cigarettes subject to the tax imposed pursuant to Section 12</w:t>
      </w:r>
      <w:r>
        <w:rPr>
          <w:szCs w:val="22"/>
        </w:rPr>
        <w:noBreakHyphen/>
        <w:t>21</w:t>
      </w:r>
      <w:r>
        <w:rPr>
          <w:szCs w:val="22"/>
        </w:rPr>
        <w:noBreakHyphen/>
        <w:t>620(1) in an amount that raises the total tax for each pack of cigarettes to that of the average tax on each pack of cigarettes among the southeastern states.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each year, five million dollars to the Smoking Prevention and Cessation Trust Fund created pursuant to Section 11</w:t>
      </w:r>
      <w:r>
        <w:noBreakHyphen/>
        <w:t>11</w:t>
      </w:r>
      <w:r>
        <w:noBreakHyphen/>
        <w:t>230(A) and one million dollars to the Department of Agriculture to cause the marking or branding of South Carolina agricultural crops or produce as being grown in South Carolina when offered for sale in retail establishments; and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of the remaining annual revenue, one</w:t>
      </w:r>
      <w:r>
        <w:noBreakHyphen/>
        <w:t>half to the Medicaid Trust Fund created pursuant to Section 11</w:t>
      </w:r>
      <w:r>
        <w:noBreakHyphen/>
        <w:t>11</w:t>
      </w:r>
      <w:r>
        <w:noBreakHyphen/>
        <w:t>230(B) and one</w:t>
      </w:r>
      <w:r>
        <w:noBreakHyphen/>
        <w:t>half to the Health Care Trust Fund created pursuant to Section 11</w:t>
      </w:r>
      <w:r>
        <w:noBreakHyphen/>
        <w:t>11</w:t>
      </w:r>
      <w:r>
        <w:noBreakHyphen/>
        <w:t>230(C).</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tab/>
      </w:r>
      <w:r>
        <w:rPr>
          <w:szCs w:val="22"/>
        </w:rPr>
        <w:tab/>
        <w:t>(1)</w:t>
      </w:r>
      <w:r>
        <w:rPr>
          <w:szCs w:val="22"/>
        </w:rPr>
        <w:tab/>
      </w:r>
      <w:r>
        <w:rPr>
          <w:color w:val="000000"/>
        </w:rPr>
        <w:t>any roll for smoking containing tobacco wrapped in paper or in any substance other than a tobacco leaf; or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2"/>
        </w:rPr>
        <w:tab/>
      </w:r>
      <w:r>
        <w:rPr>
          <w:szCs w:val="22"/>
        </w:rPr>
        <w:tab/>
      </w:r>
      <w:r>
        <w:rPr>
          <w:szCs w:val="22"/>
          <w:u w:val="single"/>
        </w:rPr>
        <w:t>(1)</w:t>
      </w:r>
      <w:r>
        <w:rPr>
          <w:szCs w:val="22"/>
        </w:rPr>
        <w:tab/>
      </w:r>
      <w:r>
        <w:rPr>
          <w:u w:val="single"/>
        </w:rPr>
        <w:t>any roll for smoking containing tobacco wrapped in paper or in any substance other than a tobacco leaf; or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r>
      <w:r>
        <w:rPr>
          <w:u w:val="single"/>
        </w:rPr>
        <w:t>(2)</w:t>
      </w:r>
      <w:r>
        <w:tab/>
      </w:r>
      <w:r>
        <w:rPr>
          <w:u w:val="single"/>
        </w:rPr>
        <w:t>any roll for smoking containing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There is created in the State Treasury the Medicaid Trust Fund.  This fund is separate and distinct from the general fund of the State and all other funds.  Earnings and interest on this fund must be credited to it and any balance in this fund at the end of a fiscal year carries forward in the fund in the succeeding fiscal year.  Except as otherwise provided in this section, the State Treasurer shall transfer the funds to the Department of Health and Human Services quarterly to provide Medicaid services.  The funds are supplementary and may not be used to replace general funds appropriated by the General Assembly or other funds used to support Medicaid. </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There is created in the State Treasury the Health Care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Palmetto Health Care Premium Assistance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(D)</w:t>
      </w:r>
      <w:r>
        <w:tab/>
        <w:t>There is created</w:t>
      </w:r>
      <w:r>
        <w:rPr>
          <w:rFonts w:eastAsia="SimSun"/>
        </w:rPr>
        <w:t xml:space="preserve"> in the State Treasury the Palmetto Health Care Safety Net Trust Fund.  </w:t>
      </w:r>
      <w:r>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2012, and every July first thereafter, the State Treasurer shall make a transfer from the Health Care Trust Fund to the Palmetto Health Care Safety Net Trust Fund in an amount determined by the Board of Economic Advisors.  The Board of Economic Advisors shall determine the amount to be transferred by calculating the difference between ninety percent of the balance of the fund on July first, excluding any unexpended funds pursuant to Section 38</w:t>
      </w:r>
      <w:r>
        <w:rPr>
          <w:szCs w:val="32"/>
        </w:rPr>
        <w:noBreakHyphen/>
        <w:t>62</w:t>
      </w:r>
      <w:r>
        <w:rPr>
          <w:szCs w:val="32"/>
        </w:rPr>
        <w:noBreakHyphen/>
        <w:t>50(B), less the amount of projected premium assistance payments in the following twelve months.”</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4.</w:t>
      </w:r>
      <w:r>
        <w:rPr>
          <w:color w:val="000000"/>
        </w:rPr>
        <w:tab/>
        <w:t>(A)</w:t>
      </w:r>
      <w:r>
        <w:rPr>
          <w:color w:val="000000"/>
        </w:rPr>
        <w:tab/>
      </w:r>
      <w:r>
        <w:t xml:space="preserve">Beginning no later than March 1, 2011, and with appropriate federal approvals, the Department of Health and Human Services shall use the transfers from the Medicaid Trust Fund to provide Medicaid services to low income families with incomes above fifty percent but no more than one hundred percent of the prevailing federal poverty level.  If a balance of funds remains in the Medicaid Trust Fund once the Department of Health and Human Services has offered Medicaid services to low income families up to one hundred percent of the prevailing federal poverty level, then the balance of funds may be used to </w:t>
      </w:r>
      <w:r>
        <w:rPr>
          <w:szCs w:val="22"/>
        </w:rPr>
        <w:t>set the State Children’s Health Insurance Program at two hundred fifty percent of the federal poverty level or set the Aged, Blind, and Disabled Program at one hundred thirty</w:t>
      </w:r>
      <w:r>
        <w:rPr>
          <w:szCs w:val="22"/>
        </w:rPr>
        <w:noBreakHyphen/>
        <w:t xml:space="preserve">five percent of the federal poverty level.  </w:t>
      </w:r>
      <w:r>
        <w:t>The Department of Health and Human Services may charge the Medicaid Trust Fund a quarterly administrative fee equal to an amount not to exceed one percent of the amount credited to the Medicaid Trust Fund in the previous quarter.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of Health and Human Services must provide an annual report on the Medicaid Trust Fund to the chairman of the Senate Finance Committee, the chairman of the House Ways and Means Committee, and the Study Committee on Health Care Access and Affordability.  The report shall provide, at a minimum, a general description of the services provided and populations served, the number of people served, the average cost per person, the additional administrative costs of the programs funded by Medicaid Trust Fund, and a three</w:t>
      </w:r>
      <w:r>
        <w:noBreakHyphen/>
        <w:t>year forecast of the utilization of the fund.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5.</w:t>
      </w:r>
      <w:r>
        <w:rPr>
          <w:color w:val="000000"/>
        </w:rPr>
        <w:tab/>
      </w:r>
      <w:r>
        <w:t>Title 38 of the 1976 Code is amended by adding:</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Palmetto Health Care Premium Assistance Program</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‘Palmetto Health Care Premium Assistance Program’.</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 Care Trust Fund’ means the Health Care Trust Fund created pursuant to Section 11</w:t>
      </w:r>
      <w:r>
        <w:noBreakHyphen/>
        <w:t>11</w:t>
      </w:r>
      <w:r>
        <w:noBreakHyphen/>
        <w:t>230(C).</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Palmetto Health Care Premium Assistance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as part of a health insurance policy or plan offered by a health insurer that provides health insurance coverage, as defined in Section 38</w:t>
      </w:r>
      <w:r>
        <w:noBreakHyphen/>
        <w:t>71</w:t>
      </w:r>
      <w:r>
        <w:noBreakHyphen/>
        <w:t>670(6), the South Carolina HealthNet Program, or a community health plan approved by the Department of Health and Human Services, and has a minimum actuarial value of three thousand dollars adjusted for age and gender.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Beginning on July 1, 2011, individuals meeting the eligibility requirements of this chapter may receive an average of two thousand dollars of premium assistance actuarially adjusted for age and gender for the purchase of a qualifying health insurance plan.  In no case, shall the premium assistance exceed the actual cost of the individual’s qualifying health plan.</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In order to be entitled to the premium assistance, an individual must receive a certificate of eligibility from the Department of Insurance.  The department shall develop the form and manner for a person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prior year and the applicant’s W</w:t>
      </w:r>
      <w:r>
        <w:noBreakHyphen/>
        <w:t>2 form.  The department shall also require the applicant to sign a verification under oath, subject to penalties of perjury, that the applicant meets the eligibility criteria for the program pursuant to Section 38</w:t>
      </w:r>
      <w:r>
        <w:noBreakHyphen/>
        <w:t>62</w:t>
      </w:r>
      <w:r>
        <w:noBreakHyphen/>
        <w:t>50.  The department shall implement appropriate safeguards and use available existing resources to verify an applicant’s uninsured status.  The department shall pursue the recoupment of any premium assistance provided to an individual filing a false application.</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(A)</w:t>
      </w:r>
      <w:r>
        <w:tab/>
        <w:t>The department shall issue an applicant a certificate, if the department determines that:</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person earns at or less than two hundred percent of the federal poverty level;</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person is a citizen of the United States and has been a resident of this State for the twelve</w:t>
      </w:r>
      <w:r>
        <w:noBreakHyphen/>
        <w:t>month period immediately preceding the application;</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person has not been covered under a health insurance policy for at least twelve consecutive months before the application;</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is not eligible for or enrolled in Medicare, Medicaid, or any other state or federal government health insurance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person has not been awarded premium assistance pursuant to this chapter more than twice; and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person is between the ages of nineteen and sixty</w:t>
      </w:r>
      <w:r>
        <w:noBreakHyphen/>
        <w:t>four.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 issue eligible individuals certificates in the order in which the application is received.  The maximum number of eligible individuals receiving premium assistance is reached when the anticipated amount of claims for premium assistance payments reaches ninety percent of the amount of money allocated for premium assistance payments.  The director of the department shall establish a waiting list for applicants that are otherwise qualified for registration but cannot be registered because the maximum number of individuals is reached.  The director shall notify all persons who applied for a certificate and who were not issued a certificate the reason that they did not receive a certificate and whether they were placed on the waiting list.</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The certificate is valid for the twelve months following the purchase of a qualifying health plan, if the plan is purchased within ninety days of the date the certificate was issued.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shall be responsible for obtaining and completing the form and forwarding it and any documentation required by the department.  The department will process renewal applications along with new applications in accordance with Section 38</w:t>
      </w:r>
      <w:r>
        <w:noBreakHyphen/>
        <w:t>62</w:t>
      </w:r>
      <w:r>
        <w:noBreakHyphen/>
        <w:t>50.  Priority shall be given to renewal applications.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shall be responsible for completing the form and forwarding it and any documentation required by the department.</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shall be responsible for completing the form and forwarding it and any documentation required by the department.</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only issue a renewal certificate if the applicant remains eligible.</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In the case of individually sponsored insurance, the department shall provide the premium assistance directly to the individual’s choice of participating qualifying insurers.  To obtain the premium assistance, an insurer must present a valid certificate to the department.  The release of the premium assistance to the insurer is contingent upon the insurer submitting proof of the individual satisfying his share of the premium liability.  In no case, shall the amount paid in premium assistance exceed the total cost of coverage for the individual.  The department shall make quarterly premium assistance payments to insurers.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assistance directly to the individual’s participating employer.  To obtain the premium assistance, an employer must present a valid certificate to the department.  A participating small employer must share the premium assistance with the employee in proportion to the percentage of the cost of coverage paid by the employer and the employee.  The amount paid in premium assistance to a small employer cannot exceed the total cost of coverage for the employee.  The release of the premium assistance to the employer is contingent upon the employer submitting proof of the individual and the small employer satisfying his respective share of the premium liability.  The department shall make quarterly premium assistance payments to small employers.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individual ceases to be employed, the employer must return the certificate to the individual and notify the department that the employer no longer covers the individual under a qualifying health plan.  Any remaining value of the certificate may be used to obtain a qualifying health plan.</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This chapter is not intended, nor shall it operate to guarantee health insurance coverage to any individual.</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100.</w:t>
      </w:r>
      <w:r>
        <w:tab/>
      </w:r>
      <w:r>
        <w:rPr>
          <w:rFonts w:eastAsia="MS Mincho"/>
          <w:color w:val="000000"/>
        </w:rPr>
        <w:t xml:space="preserve">The department may charge the Health Care Trust Fund </w:t>
      </w:r>
      <w:r>
        <w:t>a quarterly administrative fee of up to one percent of the amount credited to the Health Care Trust Fund in the preceding quarter.</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110.</w:t>
      </w:r>
      <w:r>
        <w:rPr>
          <w:rFonts w:eastAsia="MS Mincho"/>
          <w:color w:val="000000"/>
        </w:rPr>
        <w:tab/>
      </w:r>
      <w:r>
        <w:t>The department must provide an annual report on the Health Care Trust Fund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shall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120.</w:t>
      </w:r>
      <w:r>
        <w:tab/>
        <w:t xml:space="preserve">The Department of Insurance shall </w:t>
      </w:r>
      <w:r>
        <w:rPr>
          <w:szCs w:val="32"/>
        </w:rPr>
        <w:t xml:space="preserve">develop and implement a public awareness program for the </w:t>
      </w:r>
      <w:r>
        <w:t>Palmetto Health Care Premium Assistance Program.”</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74, Title 38 of the 1976 Code is amended by adding:</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shall be funded by the Palmetto Health Care Safety Net Trust Fund created in Section 11</w:t>
      </w:r>
      <w:r>
        <w:noBreakHyphen/>
        <w:t>11</w:t>
      </w:r>
      <w:r>
        <w:noBreakHyphen/>
        <w:t>230(D), and shall be self</w:t>
      </w:r>
      <w:r>
        <w:noBreakHyphen/>
        <w:t>sustaining and financially independent from the remainder of the pool.</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provided the person also: </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their prior year’s state income tax return and corresponding W</w:t>
      </w:r>
      <w:r>
        <w:noBreakHyphen/>
        <w:t>2 forms evidencing total household gross income that did not exceed seventy</w:t>
      </w:r>
      <w:r>
        <w:noBreakHyphen/>
        <w:t>five thousand dollars in the previous taxable year; and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of Insurance.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of Insurance shall oversee the Palmetto Health Care Safety Net Program.  The department shall:</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(1)</w:t>
      </w:r>
      <w:r>
        <w:rPr>
          <w:szCs w:val="32"/>
        </w:rPr>
        <w:tab/>
        <w:t>select a qualified entity, in accordance with the procedures contained in Section 38</w:t>
      </w:r>
      <w:r>
        <w:rPr>
          <w:szCs w:val="32"/>
        </w:rPr>
        <w:noBreakHyphen/>
        <w:t>74</w:t>
      </w:r>
      <w:r>
        <w:rPr>
          <w:szCs w:val="32"/>
        </w:rPr>
        <w:noBreakHyphen/>
        <w:t>40, to administer the program including:</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(a)</w:t>
      </w:r>
      <w:r>
        <w:rPr>
          <w:szCs w:val="32"/>
        </w:rPr>
        <w:tab/>
        <w:t>establishing accounting policies for the Palmetto Health Care Safety Net Trust Fund;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(b)</w:t>
      </w:r>
      <w:r>
        <w:rPr>
          <w:szCs w:val="32"/>
        </w:rPr>
        <w:tab/>
        <w:t>establishing premium billing and collection policies including policies regarding nonpayment of premiums;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(c)</w:t>
      </w:r>
      <w:r>
        <w:rPr>
          <w:szCs w:val="32"/>
        </w:rPr>
        <w:tab/>
        <w:t>hiring independent actuarial support from a qualified Member of the Academy of Actuaries to develop and publish actuarially determined annual premium rates that are self</w:t>
      </w:r>
      <w:r>
        <w:rPr>
          <w:szCs w:val="32"/>
        </w:rPr>
        <w:noBreakHyphen/>
        <w:t>sustaining and actuarially sound.  Rates may be adjusted by age and gender and any other appropriate characteristics determined by the contracted actuary;</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(d)</w:t>
      </w:r>
      <w:r>
        <w:rPr>
          <w:szCs w:val="32"/>
        </w:rPr>
        <w:tab/>
        <w:t>developing an application for participation and establish policies and procedures for initially determining eligibility, the periodic redetermination of eligibility, monitoring of compliance with program rules and managed care provisions and termination of participation, and the premium assistance for noncompliance;</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(e)</w:t>
      </w:r>
      <w:r>
        <w:rPr>
          <w:szCs w:val="32"/>
        </w:rPr>
        <w:tab/>
        <w:t>establishing a schedule of medical benefits, exclusions, and limitations for the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(f)</w:t>
      </w:r>
      <w:r>
        <w:rPr>
          <w:szCs w:val="32"/>
        </w:rPr>
        <w:tab/>
        <w:t>developing stringent care coordination plans, case management procedures, and other managed care criteria that will serve as a requirement for eligible persons to participate in this program; and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r>
      <w:r>
        <w:rPr>
          <w:szCs w:val="32"/>
        </w:rPr>
        <w:tab/>
        <w:t>(g)</w:t>
      </w:r>
      <w:r>
        <w:rPr>
          <w:szCs w:val="32"/>
        </w:rPr>
        <w:tab/>
        <w:t>developing and implementing a public awareness program of the plan; and</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Pr>
          <w:szCs w:val="32"/>
        </w:rPr>
        <w:tab/>
        <w:t>(2)</w:t>
      </w:r>
      <w:r>
        <w:rPr>
          <w:szCs w:val="32"/>
        </w:rPr>
        <w:tab/>
        <w:t>promulgate regulations necessary to implement the provisions of this section.</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Participation in the Palmetto Health Care Safety Net Program is limited to the funds available in the Palmetto Health Care Safety Net Trust Fund in order to prevent any loss in program operations.  The Department of Insurance or its contracted entity shall accept and process applications, and award the premium assistance provided for in this section, in the order in which the applications are received.  The department is further authorized to establish a waiting list in the event there are insufficient funds available to allow all applicants to participate.  The department also may implement a maximum limit on individual coverage to prevent an operating loss.  The program may not be funded in any part by the funding mechanisms of the existing pool.  T</w:t>
      </w:r>
      <w:r>
        <w:rPr>
          <w:rFonts w:eastAsia="MS Mincho"/>
          <w:color w:val="000000"/>
        </w:rPr>
        <w:t xml:space="preserve">he Department of Insurance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Beginning on July 1, 2012, and then only to the extent sufficient funds exist in the Palmetto Health Care Safety Net Trust Fund, participants in the Palmetto Health Care Safety Net Program shall be entitled to a premium assistance equal to the difference between the self</w:t>
      </w:r>
      <w:r>
        <w:noBreakHyphen/>
        <w:t>supporting actuarial premium for this pool and the amount that the individual would have been required to pay for an equivalent product under Section 38</w:t>
      </w:r>
      <w:r>
        <w:noBreakHyphen/>
        <w:t>62</w:t>
      </w:r>
      <w:r>
        <w:noBreakHyphen/>
        <w:t>30.</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Department of Insurance is authorized to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(G)</w:t>
      </w:r>
      <w:r>
        <w:rPr>
          <w:szCs w:val="32"/>
        </w:rPr>
        <w:tab/>
      </w:r>
      <w:r>
        <w:t>Neither the establishment of rates, forms, or procedures nor any other joint or collective action required by this section may be the basis of any legal action, criminal or civil liability, or penalty against the program.  No cause of action may arise against the program’s agents, employees, or representatives, for any good faith act or omission in the performance of their powers and duties pursuant to this section.</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department must provide an annual report on the Palmetto Health Care Safety Net Program of the pool to the chairman of the Senate Finance Committee, the chairman of the House Ways and Means Committee, the chairman of the Senate Banking and Insurance Committee, the chairman of the House Labor, Commerce and Industry Committee, the Board of Economic Advisors, and the Study Committee on Health Care Access and Affordability.  The report shall provide, at a minimum, a general description of the services provided and populations served, the number of people served, the average cost per person, the additional administration costs of the programs funded by the Health Care Trust Fund, and a three</w:t>
      </w:r>
      <w:r>
        <w:noBreakHyphen/>
        <w:t>year forecast of the utilization of the fund.”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April, May, and June of 2010,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April, May, and June of 2010 exceeds one hundred ten percent of the amount collected during the same three months of the previous calendar year, the business license tax audit division of the department shall conduct an audit of random wholesalers, distributors, and retailers to ensure compliance with the requirements of this section.  Any violation of this section shall result in a civil fine equal to five times the amount of tax owed on the purchased cigarettes that caused the wholesaler, distributor, or retailer to exceed one hundred ten percent of the amount purchased in the same three months of the previous calendar year.</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There is created the Study Committee on Health Care Access and Affordability.  The committee shall review and make recommendations regarding the state’s overall health status, the price of health care, the use of Medicare and Medicaid, the promotion of public and private health care partnerships, preventative care, the establishment of a high risk health care pool, the necessity of a reinsurance program, how to maximize coverage while controlling costs and providing quality care, and how to improve the state’s overall health and health care affordability.</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study committee shall be composed of nine members.  The President Pro Tempore of the Senate, the Speaker of the House of Representatives, and the Governor shall each appoint three members.  The Governor must appoint one member based upon the recommendation of the Health Sciences South Carolina collaborative.  Each member must have a background of substantial duration or expertise in at least one of the following:</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health care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business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economic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consumer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academic issues; or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governmental issues.</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study committee shall make a report of its findings and recommendations to the General Assembly no later than January 1, 2012, at which time the study committee must be dissolved.</w:t>
      </w:r>
    </w:p>
    <w:p w:rsidR="00132A62" w:rsidRDefault="0013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Except where otherwise provided, this act takes effect upon approval by the Governor.</w:t>
      </w:r>
    </w:p>
    <w:p w:rsidR="00132A62" w:rsidRDefault="0079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A62" w:rsidRDefault="00132A62">
      <w:pPr>
        <w:suppressAutoHyphens/>
      </w:pPr>
    </w:p>
    <w:sectPr w:rsidR="00132A62" w:rsidSect="00132A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A62" w:rsidRDefault="00794E37">
      <w:r>
        <w:separator/>
      </w:r>
    </w:p>
  </w:endnote>
  <w:endnote w:type="continuationSeparator" w:id="0">
    <w:p w:rsidR="00132A62" w:rsidRDefault="0079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66B408-C086-49DF-8D77-941D29FB50ED}"/>
    <w:embedBold r:id="rId2" w:fontKey="{9C4F4FF9-C2A5-4919-BACA-485252537AF4}"/>
  </w:font>
  <w:font w:name="Calibri">
    <w:panose1 w:val="020F0502020204030204"/>
    <w:charset w:val="00"/>
    <w:family w:val="swiss"/>
    <w:pitch w:val="variable"/>
    <w:sig w:usb0="E10002FF" w:usb1="4000ACFF" w:usb2="00000009" w:usb3="00000000" w:csb0="0000019F" w:csb1="00000000"/>
    <w:embedRegular r:id="rId3" w:fontKey="{47170A20-A707-48CB-A32D-AE04B5F0E6BF}"/>
  </w:font>
  <w:font w:name="Tahoma">
    <w:panose1 w:val="020B0604030504040204"/>
    <w:charset w:val="00"/>
    <w:family w:val="swiss"/>
    <w:pitch w:val="variable"/>
    <w:sig w:usb0="21002A87" w:usb1="80000000" w:usb2="00000008" w:usb3="00000000" w:csb0="000101FF" w:csb1="00000000"/>
    <w:embedRegular r:id="rId4" w:fontKey="{F63229CF-E514-4810-878C-9EDFB54E493C}"/>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A6448B18-7063-4B5A-896A-79B1C14A9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62" w:rsidRDefault="00794E37">
    <w:pPr>
      <w:pStyle w:val="Footer"/>
      <w:tabs>
        <w:tab w:val="clear" w:pos="4680"/>
        <w:tab w:val="clear" w:pos="9360"/>
        <w:tab w:val="center" w:pos="2995"/>
      </w:tabs>
      <w:spacing w:before="120"/>
    </w:pPr>
    <w:r>
      <w:t>[3486]</w:t>
    </w:r>
    <w:r>
      <w:tab/>
    </w:r>
    <w:r w:rsidR="00B31855">
      <w:fldChar w:fldCharType="begin"/>
    </w:r>
    <w:r w:rsidR="00B31855">
      <w:instrText xml:space="preserve"> PAGE  \* MERGEFORMAT </w:instrText>
    </w:r>
    <w:r w:rsidR="00B31855">
      <w:fldChar w:fldCharType="separate"/>
    </w:r>
    <w:r w:rsidR="00B31855">
      <w:rPr>
        <w:noProof/>
      </w:rPr>
      <w:t>1</w:t>
    </w:r>
    <w:r w:rsidR="00B318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A62" w:rsidRDefault="00794E37">
      <w:r>
        <w:separator/>
      </w:r>
    </w:p>
  </w:footnote>
  <w:footnote w:type="continuationSeparator" w:id="0">
    <w:p w:rsidR="00132A62" w:rsidRDefault="00794E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1MM09"/>
    <w:docVar w:name="CoverBillType" w:val="b"/>
    <w:docVar w:name="docpath" w:val="L:\Council\bills\GGS\22221MM09.DOCX"/>
    <w:docVar w:name="dvBillNumber" w:val="3486"/>
    <w:docVar w:name="dvBillNumberPrefix" w:val="H. "/>
    <w:docVar w:name="dvOriginalBody" w:val="House"/>
    <w:docVar w:name="dvSteno" w:val="GGS"/>
    <w:docVar w:name="NameofBody" w:val="h"/>
    <w:docVar w:name="vgroup2" w:val="Council"/>
  </w:docVars>
  <w:rsids>
    <w:rsidRoot w:val="00132A62"/>
    <w:rsid w:val="00132A62"/>
    <w:rsid w:val="00155F59"/>
    <w:rsid w:val="00794E37"/>
    <w:rsid w:val="008E1CC3"/>
    <w:rsid w:val="00B31855"/>
    <w:rsid w:val="00CE4868"/>
    <w:rsid w:val="00E7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1FEC78-B02A-46DD-B797-F84C8314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A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2A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A62"/>
    <w:rPr>
      <w:rFonts w:eastAsia="Times New Roman" w:cs="Times New Roman"/>
      <w:b/>
      <w:sz w:val="30"/>
      <w:szCs w:val="20"/>
    </w:rPr>
  </w:style>
  <w:style w:type="paragraph" w:styleId="Header">
    <w:name w:val="header"/>
    <w:basedOn w:val="Normal"/>
    <w:link w:val="HeaderChar"/>
    <w:uiPriority w:val="99"/>
    <w:semiHidden/>
    <w:unhideWhenUsed/>
    <w:rsid w:val="00132A62"/>
    <w:pPr>
      <w:tabs>
        <w:tab w:val="center" w:pos="4320"/>
        <w:tab w:val="right" w:pos="8640"/>
      </w:tabs>
    </w:pPr>
  </w:style>
  <w:style w:type="character" w:customStyle="1" w:styleId="HeaderChar">
    <w:name w:val="Header Char"/>
    <w:basedOn w:val="DefaultParagraphFont"/>
    <w:link w:val="Header"/>
    <w:uiPriority w:val="99"/>
    <w:semiHidden/>
    <w:rsid w:val="00132A62"/>
    <w:rPr>
      <w:rFonts w:eastAsia="Times New Roman" w:cs="Times New Roman"/>
      <w:szCs w:val="20"/>
    </w:rPr>
  </w:style>
  <w:style w:type="paragraph" w:styleId="Footer">
    <w:name w:val="footer"/>
    <w:basedOn w:val="Normal"/>
    <w:link w:val="FooterChar"/>
    <w:uiPriority w:val="99"/>
    <w:unhideWhenUsed/>
    <w:rsid w:val="00132A62"/>
    <w:pPr>
      <w:tabs>
        <w:tab w:val="center" w:pos="4680"/>
        <w:tab w:val="right" w:pos="9360"/>
      </w:tabs>
    </w:pPr>
  </w:style>
  <w:style w:type="character" w:customStyle="1" w:styleId="FooterChar">
    <w:name w:val="Footer Char"/>
    <w:basedOn w:val="DefaultParagraphFont"/>
    <w:link w:val="Footer"/>
    <w:uiPriority w:val="99"/>
    <w:rsid w:val="00132A62"/>
    <w:rPr>
      <w:rFonts w:eastAsia="Times New Roman" w:cs="Times New Roman"/>
      <w:szCs w:val="20"/>
    </w:rPr>
  </w:style>
  <w:style w:type="character" w:styleId="PageNumber">
    <w:name w:val="page number"/>
    <w:basedOn w:val="DefaultParagraphFont"/>
    <w:uiPriority w:val="99"/>
    <w:semiHidden/>
    <w:unhideWhenUsed/>
    <w:rsid w:val="00132A62"/>
  </w:style>
  <w:style w:type="character" w:styleId="LineNumber">
    <w:name w:val="line number"/>
    <w:basedOn w:val="DefaultParagraphFont"/>
    <w:uiPriority w:val="99"/>
    <w:semiHidden/>
    <w:unhideWhenUsed/>
    <w:rsid w:val="00132A62"/>
  </w:style>
  <w:style w:type="paragraph" w:customStyle="1" w:styleId="BillDots">
    <w:name w:val="Bill Dots"/>
    <w:basedOn w:val="Normal"/>
    <w:qFormat/>
    <w:rsid w:val="00132A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2A62"/>
    <w:pPr>
      <w:tabs>
        <w:tab w:val="right" w:pos="5904"/>
      </w:tabs>
    </w:pPr>
  </w:style>
  <w:style w:type="paragraph" w:styleId="BalloonText">
    <w:name w:val="Balloon Text"/>
    <w:basedOn w:val="Normal"/>
    <w:link w:val="BalloonTextChar"/>
    <w:uiPriority w:val="99"/>
    <w:semiHidden/>
    <w:unhideWhenUsed/>
    <w:rsid w:val="00132A62"/>
    <w:rPr>
      <w:rFonts w:ascii="Tahoma" w:hAnsi="Tahoma" w:cs="Tahoma"/>
      <w:sz w:val="16"/>
      <w:szCs w:val="16"/>
    </w:rPr>
  </w:style>
  <w:style w:type="character" w:customStyle="1" w:styleId="BalloonTextChar">
    <w:name w:val="Balloon Text Char"/>
    <w:basedOn w:val="DefaultParagraphFont"/>
    <w:link w:val="BalloonText"/>
    <w:uiPriority w:val="99"/>
    <w:semiHidden/>
    <w:rsid w:val="00132A62"/>
    <w:rPr>
      <w:rFonts w:ascii="Tahoma" w:eastAsia="Times New Roman" w:hAnsi="Tahoma" w:cs="Tahoma"/>
      <w:sz w:val="16"/>
      <w:szCs w:val="16"/>
    </w:rPr>
  </w:style>
  <w:style w:type="character" w:styleId="Hyperlink">
    <w:name w:val="Hyperlink"/>
    <w:basedOn w:val="DefaultParagraphFont"/>
    <w:uiPriority w:val="99"/>
    <w:unhideWhenUsed/>
    <w:rsid w:val="00132A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86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462DF-8AB1-4665-9F89-5AD74A0C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4547</Words>
  <Characters>24162</Characters>
  <Application>Microsoft Office Word</Application>
  <DocSecurity>0</DocSecurity>
  <Lines>577</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3486: Cigarette tax - South Carolina Legislature Online</dc:title>
  <dc:subject/>
  <dc:creator>GGS</dc:creator>
  <cp:keywords/>
  <dc:description/>
  <cp:lastModifiedBy>N Cumfer</cp:lastModifiedBy>
  <cp:revision>10</cp:revision>
  <cp:lastPrinted>2009-02-05T19:08:00Z</cp:lastPrinted>
  <dcterms:created xsi:type="dcterms:W3CDTF">2009-02-10T18:14:00Z</dcterms:created>
  <dcterms:modified xsi:type="dcterms:W3CDTF">2014-11-24T16:07:00Z</dcterms:modified>
</cp:coreProperties>
</file>