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931B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A73, R64, S351</w:t>
      </w: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Grooms, McConnell and Ford</w:t>
      </w: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l:\s-res\lkg\007port.kmm.lkg.docx</w:t>
      </w: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2009</w:t>
      </w: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19, 2009</w:t>
      </w: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21, 2009</w:t>
      </w: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2009</w:t>
      </w: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Vetoed</w:t>
      </w: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672641" w:rsidRDefault="006726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Ports Authority</w:t>
      </w: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A72F7A">
      <w:pPr>
        <w:widowControl w:val="0"/>
        <w:tabs>
          <w:tab w:val="center" w:pos="590"/>
          <w:tab w:val="center" w:pos="1440"/>
          <w:tab w:val="left" w:pos="1872"/>
          <w:tab w:val="left" w:pos="9187"/>
        </w:tabs>
        <w:rPr>
          <w:rFonts w:cs="Times New Roman"/>
        </w:rPr>
      </w:pPr>
      <w:r>
        <w:rPr>
          <w:rFonts w:cs="Times New Roman"/>
          <w:b/>
        </w:rPr>
        <w:t>HISTORY OF LEGISLATIVE ACTIONS</w:t>
      </w:r>
    </w:p>
    <w:p w:rsidR="00AC3314" w:rsidRDefault="00AC3314">
      <w:pPr>
        <w:widowControl w:val="0"/>
        <w:tabs>
          <w:tab w:val="center" w:pos="590"/>
          <w:tab w:val="center" w:pos="1440"/>
          <w:tab w:val="left" w:pos="1872"/>
          <w:tab w:val="left" w:pos="9187"/>
        </w:tabs>
        <w:rPr>
          <w:rFonts w:cs="Times New Roman"/>
        </w:rPr>
      </w:pPr>
    </w:p>
    <w:p w:rsidR="00AC3314" w:rsidRDefault="00A72F7A">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7A5DD2">
        <w:rPr>
          <w:rFonts w:cs="Times New Roman"/>
        </w:rPr>
        <w:t xml:space="preserve">Introduced and read first time </w:t>
      </w:r>
      <w:hyperlink r:id="rId6" w:history="1">
        <w:r w:rsidRPr="00C633A4">
          <w:rPr>
            <w:rStyle w:val="Hyperlink"/>
            <w:rFonts w:cs="Times New Roman"/>
          </w:rPr>
          <w:t>SJ</w:t>
        </w:r>
      </w:hyperlink>
      <w:r>
        <w:rPr>
          <w:rFonts w:cs="Times New Roman"/>
        </w:rPr>
        <w:noBreakHyphen/>
      </w:r>
      <w:r w:rsidRPr="007A5DD2">
        <w:rPr>
          <w:rFonts w:cs="Times New Roman"/>
        </w:rPr>
        <w:t>8</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7A5DD2">
        <w:rPr>
          <w:rFonts w:cs="Times New Roman"/>
        </w:rPr>
        <w:t xml:space="preserve">Referred to Committee on </w:t>
      </w:r>
      <w:r w:rsidRPr="007A5DD2">
        <w:rPr>
          <w:rFonts w:cs="Times New Roman"/>
          <w:b/>
        </w:rPr>
        <w:t>Transportation</w:t>
      </w:r>
      <w:r w:rsidRPr="007A5DD2">
        <w:rPr>
          <w:rFonts w:cs="Times New Roman"/>
        </w:rPr>
        <w:t xml:space="preserve"> </w:t>
      </w:r>
      <w:hyperlink r:id="rId7" w:history="1">
        <w:r w:rsidRPr="00C633A4">
          <w:rPr>
            <w:rStyle w:val="Hyperlink"/>
            <w:rFonts w:cs="Times New Roman"/>
          </w:rPr>
          <w:t>SJ</w:t>
        </w:r>
      </w:hyperlink>
      <w:r>
        <w:rPr>
          <w:rFonts w:cs="Times New Roman"/>
        </w:rPr>
        <w:noBreakHyphen/>
      </w:r>
      <w:r w:rsidRPr="007A5DD2">
        <w:rPr>
          <w:rFonts w:cs="Times New Roman"/>
        </w:rPr>
        <w:t>8</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r>
      <w:r w:rsidRPr="007A5DD2">
        <w:rPr>
          <w:rFonts w:cs="Times New Roman"/>
        </w:rPr>
        <w:t>Committee r</w:t>
      </w:r>
      <w:r>
        <w:rPr>
          <w:rFonts w:cs="Times New Roman"/>
        </w:rPr>
        <w:t xml:space="preserve">eport: Favorable with amendment </w:t>
      </w:r>
      <w:r w:rsidRPr="007A5DD2">
        <w:rPr>
          <w:rFonts w:cs="Times New Roman"/>
          <w:b/>
        </w:rPr>
        <w:t>Transportation</w:t>
      </w:r>
      <w:r w:rsidRPr="007A5DD2">
        <w:rPr>
          <w:rFonts w:cs="Times New Roman"/>
        </w:rPr>
        <w:t xml:space="preserve"> </w:t>
      </w:r>
      <w:hyperlink r:id="rId8" w:history="1">
        <w:r w:rsidRPr="00C633A4">
          <w:rPr>
            <w:rStyle w:val="Hyperlink"/>
            <w:rFonts w:cs="Times New Roman"/>
          </w:rPr>
          <w:t>SJ</w:t>
        </w:r>
      </w:hyperlink>
      <w:r>
        <w:rPr>
          <w:rFonts w:cs="Times New Roman"/>
        </w:rPr>
        <w:noBreakHyphen/>
      </w:r>
      <w:r w:rsidRPr="007A5DD2">
        <w:rPr>
          <w:rFonts w:cs="Times New Roman"/>
        </w:rPr>
        <w:t>6</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r>
      <w:r>
        <w:rPr>
          <w:rFonts w:cs="Times New Roman"/>
        </w:rPr>
        <w:tab/>
      </w:r>
      <w:r w:rsidRPr="007A5DD2">
        <w:rPr>
          <w:rFonts w:cs="Times New Roman"/>
        </w:rPr>
        <w:t>Scrivener's error corrected</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7A5DD2">
        <w:rPr>
          <w:rFonts w:cs="Times New Roman"/>
        </w:rPr>
        <w:t xml:space="preserve">Debate interrupted </w:t>
      </w:r>
      <w:hyperlink r:id="rId9" w:history="1">
        <w:r w:rsidRPr="00C633A4">
          <w:rPr>
            <w:rStyle w:val="Hyperlink"/>
            <w:rFonts w:cs="Times New Roman"/>
          </w:rPr>
          <w:t>SJ</w:t>
        </w:r>
      </w:hyperlink>
      <w:r>
        <w:rPr>
          <w:rFonts w:cs="Times New Roman"/>
        </w:rPr>
        <w:noBreakHyphen/>
      </w:r>
      <w:r w:rsidRPr="007A5DD2">
        <w:rPr>
          <w:rFonts w:cs="Times New Roman"/>
        </w:rPr>
        <w:t>46</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7A5DD2">
        <w:rPr>
          <w:rFonts w:cs="Times New Roman"/>
        </w:rPr>
        <w:t xml:space="preserve">Debate interrupted </w:t>
      </w:r>
      <w:hyperlink r:id="rId10" w:history="1">
        <w:r w:rsidRPr="00C633A4">
          <w:rPr>
            <w:rStyle w:val="Hyperlink"/>
            <w:rFonts w:cs="Times New Roman"/>
          </w:rPr>
          <w:t>SJ</w:t>
        </w:r>
      </w:hyperlink>
      <w:r>
        <w:rPr>
          <w:rFonts w:cs="Times New Roman"/>
        </w:rPr>
        <w:noBreakHyphen/>
      </w:r>
      <w:r w:rsidRPr="007A5DD2">
        <w:rPr>
          <w:rFonts w:cs="Times New Roman"/>
        </w:rPr>
        <w:t>18</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r>
      <w:r w:rsidRPr="007A5DD2">
        <w:rPr>
          <w:rFonts w:cs="Times New Roman"/>
        </w:rPr>
        <w:t xml:space="preserve">Committee Amendment Amended and Adopted </w:t>
      </w:r>
      <w:hyperlink r:id="rId11" w:history="1">
        <w:r w:rsidRPr="00C633A4">
          <w:rPr>
            <w:rStyle w:val="Hyperlink"/>
            <w:rFonts w:cs="Times New Roman"/>
          </w:rPr>
          <w:t>SJ</w:t>
        </w:r>
      </w:hyperlink>
      <w:r>
        <w:rPr>
          <w:rFonts w:cs="Times New Roman"/>
        </w:rPr>
        <w:noBreakHyphen/>
      </w:r>
      <w:r w:rsidRPr="007A5DD2">
        <w:rPr>
          <w:rFonts w:cs="Times New Roman"/>
        </w:rPr>
        <w:t>15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r>
      <w:r w:rsidRPr="007A5DD2">
        <w:rPr>
          <w:rFonts w:cs="Times New Roman"/>
        </w:rPr>
        <w:t xml:space="preserve">Amended </w:t>
      </w:r>
      <w:hyperlink r:id="rId12" w:history="1">
        <w:r w:rsidRPr="00C633A4">
          <w:rPr>
            <w:rStyle w:val="Hyperlink"/>
            <w:rFonts w:cs="Times New Roman"/>
          </w:rPr>
          <w:t>SJ</w:t>
        </w:r>
      </w:hyperlink>
      <w:r>
        <w:rPr>
          <w:rFonts w:cs="Times New Roman"/>
        </w:rPr>
        <w:noBreakHyphen/>
      </w:r>
      <w:r w:rsidRPr="007A5DD2">
        <w:rPr>
          <w:rFonts w:cs="Times New Roman"/>
        </w:rPr>
        <w:t>15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r>
      <w:r w:rsidRPr="007A5DD2">
        <w:rPr>
          <w:rFonts w:cs="Times New Roman"/>
        </w:rPr>
        <w:t xml:space="preserve">Read second time </w:t>
      </w:r>
      <w:hyperlink r:id="rId13" w:history="1">
        <w:r w:rsidRPr="00C633A4">
          <w:rPr>
            <w:rStyle w:val="Hyperlink"/>
            <w:rFonts w:cs="Times New Roman"/>
          </w:rPr>
          <w:t>SJ</w:t>
        </w:r>
      </w:hyperlink>
      <w:r>
        <w:rPr>
          <w:rFonts w:cs="Times New Roman"/>
        </w:rPr>
        <w:noBreakHyphen/>
      </w:r>
      <w:r w:rsidRPr="007A5DD2">
        <w:rPr>
          <w:rFonts w:cs="Times New Roman"/>
        </w:rPr>
        <w:t>15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r>
      <w:r w:rsidRPr="007A5DD2">
        <w:rPr>
          <w:rFonts w:cs="Times New Roman"/>
        </w:rPr>
        <w:t xml:space="preserve">Special order, set for February 17, 2009 </w:t>
      </w:r>
      <w:hyperlink r:id="rId14" w:history="1">
        <w:r w:rsidRPr="00C633A4">
          <w:rPr>
            <w:rStyle w:val="Hyperlink"/>
            <w:rFonts w:cs="Times New Roman"/>
          </w:rPr>
          <w:t>SJ</w:t>
        </w:r>
      </w:hyperlink>
      <w:r>
        <w:rPr>
          <w:rFonts w:cs="Times New Roman"/>
        </w:rPr>
        <w:noBreakHyphen/>
      </w:r>
      <w:r w:rsidRPr="007A5DD2">
        <w:rPr>
          <w:rFonts w:cs="Times New Roman"/>
        </w:rPr>
        <w:t>60</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r>
      <w:r>
        <w:rPr>
          <w:rFonts w:cs="Times New Roman"/>
        </w:rPr>
        <w:tab/>
      </w:r>
      <w:r w:rsidRPr="007A5DD2">
        <w:rPr>
          <w:rFonts w:cs="Times New Roman"/>
        </w:rPr>
        <w:t>Scrivener's error corrected</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r>
      <w:r w:rsidRPr="007A5DD2">
        <w:rPr>
          <w:rFonts w:cs="Times New Roman"/>
        </w:rPr>
        <w:t xml:space="preserve">Read third time and sent to House </w:t>
      </w:r>
      <w:hyperlink r:id="rId15" w:history="1">
        <w:r w:rsidRPr="00C633A4">
          <w:rPr>
            <w:rStyle w:val="Hyperlink"/>
            <w:rFonts w:cs="Times New Roman"/>
          </w:rPr>
          <w:t>SJ</w:t>
        </w:r>
      </w:hyperlink>
      <w:r>
        <w:rPr>
          <w:rFonts w:cs="Times New Roman"/>
        </w:rPr>
        <w:noBreakHyphen/>
      </w:r>
      <w:r w:rsidRPr="007A5DD2">
        <w:rPr>
          <w:rFonts w:cs="Times New Roman"/>
        </w:rPr>
        <w:t>16</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7A5DD2">
        <w:rPr>
          <w:rFonts w:cs="Times New Roman"/>
        </w:rPr>
        <w:t xml:space="preserve">Introduced and read first time </w:t>
      </w:r>
      <w:hyperlink r:id="rId16" w:history="1">
        <w:r w:rsidRPr="00C633A4">
          <w:rPr>
            <w:rStyle w:val="Hyperlink"/>
            <w:rFonts w:cs="Times New Roman"/>
          </w:rPr>
          <w:t>HJ</w:t>
        </w:r>
      </w:hyperlink>
      <w:r>
        <w:rPr>
          <w:rFonts w:cs="Times New Roman"/>
        </w:rPr>
        <w:noBreakHyphen/>
      </w:r>
      <w:r w:rsidRPr="007A5DD2">
        <w:rPr>
          <w:rFonts w:cs="Times New Roman"/>
        </w:rPr>
        <w:t>10</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7A5DD2">
        <w:rPr>
          <w:rFonts w:cs="Times New Roman"/>
        </w:rPr>
        <w:t xml:space="preserve">Referred to Committee on </w:t>
      </w:r>
      <w:r w:rsidRPr="007A5DD2">
        <w:rPr>
          <w:rFonts w:cs="Times New Roman"/>
          <w:b/>
        </w:rPr>
        <w:t>Judiciary</w:t>
      </w:r>
      <w:r w:rsidRPr="007A5DD2">
        <w:rPr>
          <w:rFonts w:cs="Times New Roman"/>
        </w:rPr>
        <w:t xml:space="preserve"> </w:t>
      </w:r>
      <w:hyperlink r:id="rId17" w:history="1">
        <w:r w:rsidRPr="00C633A4">
          <w:rPr>
            <w:rStyle w:val="Hyperlink"/>
            <w:rFonts w:cs="Times New Roman"/>
          </w:rPr>
          <w:t>HJ</w:t>
        </w:r>
      </w:hyperlink>
      <w:r>
        <w:rPr>
          <w:rFonts w:cs="Times New Roman"/>
        </w:rPr>
        <w:noBreakHyphen/>
      </w:r>
      <w:r w:rsidRPr="007A5DD2">
        <w:rPr>
          <w:rFonts w:cs="Times New Roman"/>
        </w:rPr>
        <w:t>11</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7A5DD2">
        <w:rPr>
          <w:rFonts w:cs="Times New Roman"/>
        </w:rPr>
        <w:t>Committee r</w:t>
      </w:r>
      <w:r>
        <w:rPr>
          <w:rFonts w:cs="Times New Roman"/>
        </w:rPr>
        <w:t xml:space="preserve">eport: Favorable with amendment </w:t>
      </w:r>
      <w:r w:rsidRPr="007A5DD2">
        <w:rPr>
          <w:rFonts w:cs="Times New Roman"/>
          <w:b/>
        </w:rPr>
        <w:t>Judiciary</w:t>
      </w:r>
      <w:r w:rsidRPr="007A5DD2">
        <w:rPr>
          <w:rFonts w:cs="Times New Roman"/>
        </w:rPr>
        <w:t xml:space="preserve"> </w:t>
      </w:r>
      <w:hyperlink r:id="rId18" w:history="1">
        <w:r w:rsidRPr="00C633A4">
          <w:rPr>
            <w:rStyle w:val="Hyperlink"/>
            <w:rFonts w:cs="Times New Roman"/>
          </w:rPr>
          <w:t>HJ</w:t>
        </w:r>
      </w:hyperlink>
      <w:r>
        <w:rPr>
          <w:rFonts w:cs="Times New Roman"/>
        </w:rPr>
        <w:noBreakHyphen/>
      </w:r>
      <w:r w:rsidRPr="007A5DD2">
        <w:rPr>
          <w:rFonts w:cs="Times New Roman"/>
        </w:rPr>
        <w:t>178</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7A5DD2">
        <w:rPr>
          <w:rFonts w:cs="Times New Roman"/>
        </w:rPr>
        <w:t xml:space="preserve">Amended </w:t>
      </w:r>
      <w:hyperlink r:id="rId19" w:history="1">
        <w:r w:rsidRPr="00C633A4">
          <w:rPr>
            <w:rStyle w:val="Hyperlink"/>
            <w:rFonts w:cs="Times New Roman"/>
          </w:rPr>
          <w:t>HJ</w:t>
        </w:r>
      </w:hyperlink>
      <w:r>
        <w:rPr>
          <w:rFonts w:cs="Times New Roman"/>
        </w:rPr>
        <w:noBreakHyphen/>
      </w:r>
      <w:r w:rsidRPr="007A5DD2">
        <w:rPr>
          <w:rFonts w:cs="Times New Roman"/>
        </w:rPr>
        <w:t>36</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7A5DD2">
        <w:rPr>
          <w:rFonts w:cs="Times New Roman"/>
        </w:rPr>
        <w:t>Requests for d</w:t>
      </w:r>
      <w:r>
        <w:rPr>
          <w:rFonts w:cs="Times New Roman"/>
        </w:rPr>
        <w:t>ebate</w:t>
      </w:r>
      <w:r>
        <w:rPr>
          <w:rFonts w:cs="Times New Roman"/>
        </w:rPr>
        <w:noBreakHyphen/>
        <w:t xml:space="preserve">Rep(s). Daning, Crawford, </w:t>
      </w:r>
      <w:r w:rsidRPr="007A5DD2">
        <w:rPr>
          <w:rFonts w:cs="Times New Roman"/>
        </w:rPr>
        <w:t xml:space="preserve">Kennedy, Bowers, </w:t>
      </w:r>
      <w:r>
        <w:rPr>
          <w:rFonts w:cs="Times New Roman"/>
        </w:rPr>
        <w:t xml:space="preserve">Williams, Sellers, Hart, Hosey, </w:t>
      </w:r>
      <w:r w:rsidRPr="007A5DD2">
        <w:rPr>
          <w:rFonts w:cs="Times New Roman"/>
        </w:rPr>
        <w:t xml:space="preserve">Long, and Bedingfield </w:t>
      </w:r>
      <w:hyperlink r:id="rId20" w:history="1">
        <w:r w:rsidRPr="00C633A4">
          <w:rPr>
            <w:rStyle w:val="Hyperlink"/>
            <w:rFonts w:cs="Times New Roman"/>
          </w:rPr>
          <w:t>HJ</w:t>
        </w:r>
      </w:hyperlink>
      <w:r>
        <w:rPr>
          <w:rFonts w:cs="Times New Roman"/>
        </w:rPr>
        <w:noBreakHyphen/>
      </w:r>
      <w:r w:rsidRPr="007A5DD2">
        <w:rPr>
          <w:rFonts w:cs="Times New Roman"/>
        </w:rPr>
        <w:t>54</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7A5DD2">
        <w:rPr>
          <w:rFonts w:cs="Times New Roman"/>
        </w:rPr>
        <w:t xml:space="preserve">Amended </w:t>
      </w:r>
      <w:hyperlink r:id="rId21" w:history="1">
        <w:r w:rsidRPr="00C633A4">
          <w:rPr>
            <w:rStyle w:val="Hyperlink"/>
            <w:rFonts w:cs="Times New Roman"/>
          </w:rPr>
          <w:t>HJ</w:t>
        </w:r>
      </w:hyperlink>
      <w:r>
        <w:rPr>
          <w:rFonts w:cs="Times New Roman"/>
        </w:rPr>
        <w:noBreakHyphen/>
      </w:r>
      <w:r w:rsidRPr="007A5DD2">
        <w:rPr>
          <w:rFonts w:cs="Times New Roman"/>
        </w:rPr>
        <w:t>58</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7A5DD2">
        <w:rPr>
          <w:rFonts w:cs="Times New Roman"/>
        </w:rPr>
        <w:t xml:space="preserve">Read second time </w:t>
      </w:r>
      <w:hyperlink r:id="rId22" w:history="1">
        <w:r w:rsidRPr="00C633A4">
          <w:rPr>
            <w:rStyle w:val="Hyperlink"/>
            <w:rFonts w:cs="Times New Roman"/>
          </w:rPr>
          <w:t>HJ</w:t>
        </w:r>
      </w:hyperlink>
      <w:r>
        <w:rPr>
          <w:rFonts w:cs="Times New Roman"/>
        </w:rPr>
        <w:noBreakHyphen/>
      </w:r>
      <w:r w:rsidRPr="007A5DD2">
        <w:rPr>
          <w:rFonts w:cs="Times New Roman"/>
        </w:rPr>
        <w:t>76</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7A5DD2">
        <w:rPr>
          <w:rFonts w:cs="Times New Roman"/>
        </w:rPr>
        <w:t>Roll call Yeas</w:t>
      </w:r>
      <w:r>
        <w:rPr>
          <w:rFonts w:cs="Times New Roman"/>
        </w:rPr>
        <w:noBreakHyphen/>
      </w:r>
      <w:r w:rsidRPr="007A5DD2">
        <w:rPr>
          <w:rFonts w:cs="Times New Roman"/>
        </w:rPr>
        <w:t>103  Nays</w:t>
      </w:r>
      <w:r>
        <w:rPr>
          <w:rFonts w:cs="Times New Roman"/>
        </w:rPr>
        <w:noBreakHyphen/>
      </w:r>
      <w:r w:rsidRPr="007A5DD2">
        <w:rPr>
          <w:rFonts w:cs="Times New Roman"/>
        </w:rPr>
        <w:t xml:space="preserve">4 </w:t>
      </w:r>
      <w:hyperlink r:id="rId23" w:history="1">
        <w:r w:rsidRPr="00C633A4">
          <w:rPr>
            <w:rStyle w:val="Hyperlink"/>
            <w:rFonts w:cs="Times New Roman"/>
          </w:rPr>
          <w:t>HJ</w:t>
        </w:r>
      </w:hyperlink>
      <w:r>
        <w:rPr>
          <w:rFonts w:cs="Times New Roman"/>
        </w:rPr>
        <w:noBreakHyphen/>
      </w:r>
      <w:r w:rsidRPr="007A5DD2">
        <w:rPr>
          <w:rFonts w:cs="Times New Roman"/>
        </w:rPr>
        <w:t>76</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7A5DD2">
        <w:rPr>
          <w:rFonts w:cs="Times New Roman"/>
        </w:rPr>
        <w:t xml:space="preserve">Motion to reconsider tabled </w:t>
      </w:r>
      <w:hyperlink r:id="rId24" w:history="1">
        <w:r w:rsidRPr="00C633A4">
          <w:rPr>
            <w:rStyle w:val="Hyperlink"/>
            <w:rFonts w:cs="Times New Roman"/>
          </w:rPr>
          <w:t>HJ</w:t>
        </w:r>
      </w:hyperlink>
      <w:r>
        <w:rPr>
          <w:rFonts w:cs="Times New Roman"/>
        </w:rPr>
        <w:noBreakHyphen/>
      </w:r>
      <w:r w:rsidRPr="007A5DD2">
        <w:rPr>
          <w:rFonts w:cs="Times New Roman"/>
        </w:rPr>
        <w:t>77</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7A5DD2">
        <w:rPr>
          <w:rFonts w:cs="Times New Roman"/>
        </w:rPr>
        <w:t>Read third t</w:t>
      </w:r>
      <w:r>
        <w:rPr>
          <w:rFonts w:cs="Times New Roman"/>
        </w:rPr>
        <w:t xml:space="preserve">ime and returned to Senate with </w:t>
      </w:r>
      <w:r w:rsidRPr="007A5DD2">
        <w:rPr>
          <w:rFonts w:cs="Times New Roman"/>
        </w:rPr>
        <w:t xml:space="preserve">amendments </w:t>
      </w:r>
      <w:hyperlink r:id="rId25" w:history="1">
        <w:r w:rsidRPr="00C633A4">
          <w:rPr>
            <w:rStyle w:val="Hyperlink"/>
            <w:rFonts w:cs="Times New Roman"/>
          </w:rPr>
          <w:t>HJ</w:t>
        </w:r>
      </w:hyperlink>
      <w:r>
        <w:rPr>
          <w:rFonts w:cs="Times New Roman"/>
        </w:rPr>
        <w:noBreakHyphen/>
      </w:r>
      <w:r w:rsidRPr="007A5DD2">
        <w:rPr>
          <w:rFonts w:cs="Times New Roman"/>
        </w:rPr>
        <w:t>54</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7A5DD2">
        <w:rPr>
          <w:rFonts w:cs="Times New Roman"/>
        </w:rPr>
        <w:t xml:space="preserve">House amendment amended </w:t>
      </w:r>
      <w:hyperlink r:id="rId26" w:history="1">
        <w:r w:rsidRPr="00C633A4">
          <w:rPr>
            <w:rStyle w:val="Hyperlink"/>
            <w:rFonts w:cs="Times New Roman"/>
          </w:rPr>
          <w:t>SJ</w:t>
        </w:r>
      </w:hyperlink>
      <w:r>
        <w:rPr>
          <w:rFonts w:cs="Times New Roman"/>
        </w:rPr>
        <w:noBreakHyphen/>
      </w:r>
      <w:r w:rsidRPr="007A5DD2">
        <w:rPr>
          <w:rFonts w:cs="Times New Roman"/>
        </w:rPr>
        <w:t>31</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7A5DD2">
        <w:rPr>
          <w:rFonts w:cs="Times New Roman"/>
        </w:rPr>
        <w:t xml:space="preserve">Returned to House with amendments </w:t>
      </w:r>
      <w:hyperlink r:id="rId27" w:history="1">
        <w:r w:rsidRPr="00C633A4">
          <w:rPr>
            <w:rStyle w:val="Hyperlink"/>
            <w:rFonts w:cs="Times New Roman"/>
          </w:rPr>
          <w:t>SJ</w:t>
        </w:r>
      </w:hyperlink>
      <w:r>
        <w:rPr>
          <w:rFonts w:cs="Times New Roman"/>
        </w:rPr>
        <w:noBreakHyphen/>
      </w:r>
      <w:r w:rsidRPr="007A5DD2">
        <w:rPr>
          <w:rFonts w:cs="Times New Roman"/>
        </w:rPr>
        <w:t>31</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7A5DD2">
        <w:rPr>
          <w:rFonts w:cs="Times New Roman"/>
        </w:rPr>
        <w:t>Scrivener's error corrected</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7A5DD2">
        <w:rPr>
          <w:rFonts w:cs="Times New Roman"/>
        </w:rPr>
        <w:t>Non</w:t>
      </w:r>
      <w:r>
        <w:rPr>
          <w:rFonts w:cs="Times New Roman"/>
        </w:rPr>
        <w:noBreakHyphen/>
      </w:r>
      <w:r w:rsidRPr="007A5DD2">
        <w:rPr>
          <w:rFonts w:cs="Times New Roman"/>
        </w:rPr>
        <w:t xml:space="preserve">concurrence in Senate amendment </w:t>
      </w:r>
      <w:hyperlink r:id="rId28" w:history="1">
        <w:r w:rsidRPr="00C633A4">
          <w:rPr>
            <w:rStyle w:val="Hyperlink"/>
            <w:rFonts w:cs="Times New Roman"/>
          </w:rPr>
          <w:t>HJ</w:t>
        </w:r>
      </w:hyperlink>
      <w:r>
        <w:rPr>
          <w:rFonts w:cs="Times New Roman"/>
        </w:rPr>
        <w:noBreakHyphen/>
      </w:r>
      <w:r w:rsidRPr="007A5DD2">
        <w:rPr>
          <w:rFonts w:cs="Times New Roman"/>
        </w:rPr>
        <w:t>55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7A5DD2">
        <w:rPr>
          <w:rFonts w:cs="Times New Roman"/>
        </w:rPr>
        <w:t>Roll call Yeas</w:t>
      </w:r>
      <w:r>
        <w:rPr>
          <w:rFonts w:cs="Times New Roman"/>
        </w:rPr>
        <w:noBreakHyphen/>
      </w:r>
      <w:r w:rsidRPr="007A5DD2">
        <w:rPr>
          <w:rFonts w:cs="Times New Roman"/>
        </w:rPr>
        <w:t>1  Nays</w:t>
      </w:r>
      <w:r>
        <w:rPr>
          <w:rFonts w:cs="Times New Roman"/>
        </w:rPr>
        <w:noBreakHyphen/>
      </w:r>
      <w:r w:rsidRPr="007A5DD2">
        <w:rPr>
          <w:rFonts w:cs="Times New Roman"/>
        </w:rPr>
        <w:t xml:space="preserve">107 </w:t>
      </w:r>
      <w:hyperlink r:id="rId29" w:history="1">
        <w:r w:rsidRPr="00C633A4">
          <w:rPr>
            <w:rStyle w:val="Hyperlink"/>
            <w:rFonts w:cs="Times New Roman"/>
          </w:rPr>
          <w:t>HJ</w:t>
        </w:r>
      </w:hyperlink>
      <w:r>
        <w:rPr>
          <w:rFonts w:cs="Times New Roman"/>
        </w:rPr>
        <w:noBreakHyphen/>
      </w:r>
      <w:r w:rsidRPr="007A5DD2">
        <w:rPr>
          <w:rFonts w:cs="Times New Roman"/>
        </w:rPr>
        <w:t>55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7A5DD2">
        <w:rPr>
          <w:rFonts w:cs="Times New Roman"/>
        </w:rPr>
        <w:t>Senate insist</w:t>
      </w:r>
      <w:r>
        <w:rPr>
          <w:rFonts w:cs="Times New Roman"/>
        </w:rPr>
        <w:t xml:space="preserve">s upon amendment and conference </w:t>
      </w:r>
      <w:r w:rsidRPr="007A5DD2">
        <w:rPr>
          <w:rFonts w:cs="Times New Roman"/>
        </w:rPr>
        <w:t xml:space="preserve">committee appointed Peeler, McGill, and Grooms </w:t>
      </w:r>
      <w:hyperlink r:id="rId30" w:history="1">
        <w:r w:rsidRPr="00C633A4">
          <w:rPr>
            <w:rStyle w:val="Hyperlink"/>
            <w:rFonts w:cs="Times New Roman"/>
          </w:rPr>
          <w:t>SJ</w:t>
        </w:r>
      </w:hyperlink>
      <w:r>
        <w:rPr>
          <w:rFonts w:cs="Times New Roman"/>
        </w:rPr>
        <w:noBreakHyphen/>
      </w:r>
      <w:r w:rsidRPr="007A5DD2">
        <w:rPr>
          <w:rFonts w:cs="Times New Roman"/>
        </w:rPr>
        <w:t>49</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lastRenderedPageBreak/>
        <w:tab/>
        <w:t>5/21/2009</w:t>
      </w:r>
      <w:r>
        <w:rPr>
          <w:rFonts w:cs="Times New Roman"/>
        </w:rPr>
        <w:tab/>
        <w:t>House</w:t>
      </w:r>
      <w:r>
        <w:rPr>
          <w:rFonts w:cs="Times New Roman"/>
        </w:rPr>
        <w:tab/>
      </w:r>
      <w:r w:rsidRPr="007A5DD2">
        <w:rPr>
          <w:rFonts w:cs="Times New Roman"/>
        </w:rPr>
        <w:t xml:space="preserve">Conference </w:t>
      </w:r>
      <w:r>
        <w:rPr>
          <w:rFonts w:cs="Times New Roman"/>
        </w:rPr>
        <w:t xml:space="preserve">committee appointed Reps. Cato, </w:t>
      </w:r>
      <w:r w:rsidRPr="007A5DD2">
        <w:rPr>
          <w:rFonts w:cs="Times New Roman"/>
        </w:rPr>
        <w:t xml:space="preserve">Merrill, and Miller </w:t>
      </w:r>
      <w:hyperlink r:id="rId31" w:history="1">
        <w:r w:rsidRPr="00C633A4">
          <w:rPr>
            <w:rStyle w:val="Hyperlink"/>
            <w:rFonts w:cs="Times New Roman"/>
          </w:rPr>
          <w:t>HJ</w:t>
        </w:r>
      </w:hyperlink>
      <w:r>
        <w:rPr>
          <w:rFonts w:cs="Times New Roman"/>
        </w:rPr>
        <w:noBreakHyphen/>
      </w:r>
      <w:r w:rsidRPr="007A5DD2">
        <w:rPr>
          <w:rFonts w:cs="Times New Roman"/>
        </w:rPr>
        <w:t>59</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7A5DD2">
        <w:rPr>
          <w:rFonts w:cs="Times New Roman"/>
        </w:rPr>
        <w:t xml:space="preserve">Conference report adopted </w:t>
      </w:r>
      <w:hyperlink r:id="rId32" w:history="1">
        <w:r w:rsidRPr="00C633A4">
          <w:rPr>
            <w:rStyle w:val="Hyperlink"/>
            <w:rFonts w:cs="Times New Roman"/>
          </w:rPr>
          <w:t>SJ</w:t>
        </w:r>
      </w:hyperlink>
      <w:r>
        <w:rPr>
          <w:rFonts w:cs="Times New Roman"/>
        </w:rPr>
        <w:noBreakHyphen/>
      </w:r>
      <w:r w:rsidRPr="007A5DD2">
        <w:rPr>
          <w:rFonts w:cs="Times New Roman"/>
        </w:rPr>
        <w:t>54</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7A5DD2">
        <w:rPr>
          <w:rFonts w:cs="Times New Roman"/>
        </w:rPr>
        <w:t xml:space="preserve">Conference report received and adopted </w:t>
      </w:r>
      <w:hyperlink r:id="rId33" w:history="1">
        <w:r w:rsidRPr="00C633A4">
          <w:rPr>
            <w:rStyle w:val="Hyperlink"/>
            <w:rFonts w:cs="Times New Roman"/>
          </w:rPr>
          <w:t>HJ</w:t>
        </w:r>
      </w:hyperlink>
      <w:r>
        <w:rPr>
          <w:rFonts w:cs="Times New Roman"/>
        </w:rPr>
        <w:noBreakHyphen/>
      </w:r>
      <w:r w:rsidRPr="007A5DD2">
        <w:rPr>
          <w:rFonts w:cs="Times New Roman"/>
        </w:rPr>
        <w:t>85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7A5DD2">
        <w:rPr>
          <w:rFonts w:cs="Times New Roman"/>
        </w:rPr>
        <w:t>Roll call Yeas</w:t>
      </w:r>
      <w:r>
        <w:rPr>
          <w:rFonts w:cs="Times New Roman"/>
        </w:rPr>
        <w:noBreakHyphen/>
      </w:r>
      <w:r w:rsidRPr="007A5DD2">
        <w:rPr>
          <w:rFonts w:cs="Times New Roman"/>
        </w:rPr>
        <w:t>115  Nays</w:t>
      </w:r>
      <w:r>
        <w:rPr>
          <w:rFonts w:cs="Times New Roman"/>
        </w:rPr>
        <w:noBreakHyphen/>
      </w:r>
      <w:r w:rsidRPr="007A5DD2">
        <w:rPr>
          <w:rFonts w:cs="Times New Roman"/>
        </w:rPr>
        <w:t xml:space="preserve">0 </w:t>
      </w:r>
      <w:hyperlink r:id="rId34" w:history="1">
        <w:r w:rsidRPr="00C633A4">
          <w:rPr>
            <w:rStyle w:val="Hyperlink"/>
            <w:rFonts w:cs="Times New Roman"/>
          </w:rPr>
          <w:t>HJ</w:t>
        </w:r>
      </w:hyperlink>
      <w:r>
        <w:rPr>
          <w:rFonts w:cs="Times New Roman"/>
        </w:rPr>
        <w:noBreakHyphen/>
      </w:r>
      <w:r w:rsidRPr="007A5DD2">
        <w:rPr>
          <w:rFonts w:cs="Times New Roman"/>
        </w:rPr>
        <w:t>85</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7A5DD2">
        <w:rPr>
          <w:rFonts w:cs="Times New Roman"/>
        </w:rPr>
        <w:t xml:space="preserve">Ordered enrolled for ratification </w:t>
      </w:r>
      <w:hyperlink r:id="rId35" w:history="1">
        <w:r w:rsidRPr="00C633A4">
          <w:rPr>
            <w:rStyle w:val="Hyperlink"/>
            <w:rFonts w:cs="Times New Roman"/>
          </w:rPr>
          <w:t>HJ</w:t>
        </w:r>
      </w:hyperlink>
      <w:r>
        <w:rPr>
          <w:rFonts w:cs="Times New Roman"/>
        </w:rPr>
        <w:noBreakHyphen/>
      </w:r>
      <w:r w:rsidRPr="007A5DD2">
        <w:rPr>
          <w:rFonts w:cs="Times New Roman"/>
        </w:rPr>
        <w:t>110</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7A5DD2">
        <w:rPr>
          <w:rFonts w:cs="Times New Roman"/>
        </w:rPr>
        <w:t>Ratified R 64</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7A5DD2">
        <w:rPr>
          <w:rFonts w:cs="Times New Roman"/>
        </w:rPr>
        <w:t>Vetoed by Governor</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7A5DD2">
        <w:rPr>
          <w:rFonts w:cs="Times New Roman"/>
        </w:rPr>
        <w:t>Veto overridden by originating body Yeas</w:t>
      </w:r>
      <w:r>
        <w:rPr>
          <w:rFonts w:cs="Times New Roman"/>
        </w:rPr>
        <w:noBreakHyphen/>
      </w:r>
      <w:r w:rsidRPr="007A5DD2">
        <w:rPr>
          <w:rFonts w:cs="Times New Roman"/>
        </w:rPr>
        <w:t>35  Nays</w:t>
      </w:r>
      <w:r>
        <w:rPr>
          <w:rFonts w:cs="Times New Roman"/>
        </w:rPr>
        <w:noBreakHyphen/>
      </w:r>
      <w:r w:rsidRPr="007A5DD2">
        <w:rPr>
          <w:rFonts w:cs="Times New Roman"/>
        </w:rPr>
        <w:t>9</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7A5DD2">
        <w:rPr>
          <w:rFonts w:cs="Times New Roman"/>
        </w:rPr>
        <w:t>Veto overridden Yeas</w:t>
      </w:r>
      <w:r>
        <w:rPr>
          <w:rFonts w:cs="Times New Roman"/>
        </w:rPr>
        <w:noBreakHyphen/>
      </w:r>
      <w:r w:rsidRPr="007A5DD2">
        <w:rPr>
          <w:rFonts w:cs="Times New Roman"/>
        </w:rPr>
        <w:t>102  Nays</w:t>
      </w:r>
      <w:r>
        <w:rPr>
          <w:rFonts w:cs="Times New Roman"/>
        </w:rPr>
        <w:noBreakHyphen/>
      </w:r>
      <w:r w:rsidRPr="007A5DD2">
        <w:rPr>
          <w:rFonts w:cs="Times New Roman"/>
        </w:rPr>
        <w:t xml:space="preserve">2 </w:t>
      </w:r>
      <w:hyperlink r:id="rId36" w:history="1">
        <w:r w:rsidRPr="00C633A4">
          <w:rPr>
            <w:rStyle w:val="Hyperlink"/>
            <w:rFonts w:cs="Times New Roman"/>
          </w:rPr>
          <w:t>HJ</w:t>
        </w:r>
      </w:hyperlink>
      <w:r>
        <w:rPr>
          <w:rFonts w:cs="Times New Roman"/>
        </w:rPr>
        <w:noBreakHyphen/>
      </w:r>
      <w:r w:rsidRPr="007A5DD2">
        <w:rPr>
          <w:rFonts w:cs="Times New Roman"/>
        </w:rPr>
        <w:t>132</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7A5DD2">
        <w:rPr>
          <w:rFonts w:cs="Times New Roman"/>
        </w:rPr>
        <w:t>Effective date 06/16/09</w:t>
      </w:r>
    </w:p>
    <w:p w:rsidR="00931B83" w:rsidRDefault="00931B83" w:rsidP="00931B83">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7A5DD2">
        <w:rPr>
          <w:rFonts w:cs="Times New Roman"/>
        </w:rPr>
        <w:t>Act No</w:t>
      </w:r>
      <w:r>
        <w:rPr>
          <w:rFonts w:cs="Times New Roman"/>
        </w:rPr>
        <w:t>. </w:t>
      </w:r>
      <w:r w:rsidRPr="007A5DD2">
        <w:rPr>
          <w:rFonts w:cs="Times New Roman"/>
        </w:rPr>
        <w:t>73</w:t>
      </w:r>
    </w:p>
    <w:p w:rsidR="00931B83" w:rsidRDefault="00931B83" w:rsidP="00931B83">
      <w:pPr>
        <w:widowControl w:val="0"/>
        <w:tabs>
          <w:tab w:val="right" w:pos="1008"/>
          <w:tab w:val="left" w:pos="1152"/>
          <w:tab w:val="left" w:pos="1872"/>
          <w:tab w:val="left" w:pos="9187"/>
        </w:tabs>
        <w:ind w:left="2088" w:hanging="2088"/>
        <w:rPr>
          <w:rFonts w:cs="Times New Roman"/>
        </w:rPr>
      </w:pPr>
    </w:p>
    <w:p w:rsidR="00AC3314" w:rsidRDefault="00AC3314">
      <w:pPr>
        <w:widowControl w:val="0"/>
        <w:tabs>
          <w:tab w:val="right" w:pos="1008"/>
          <w:tab w:val="left" w:pos="1152"/>
          <w:tab w:val="left" w:pos="1872"/>
          <w:tab w:val="left" w:pos="9187"/>
        </w:tabs>
        <w:ind w:left="2088" w:hanging="2088"/>
        <w:rPr>
          <w:rFonts w:cs="Times New Roman"/>
        </w:rPr>
      </w:pPr>
    </w:p>
    <w:p w:rsidR="00AC3314" w:rsidRDefault="00A72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AC3314" w:rsidRDefault="00AC33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E97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A72F7A">
          <w:rPr>
            <w:rFonts w:cs="Times New Roman"/>
            <w:color w:val="0000FF" w:themeColor="hyperlink"/>
            <w:u w:val="single"/>
          </w:rPr>
          <w:t>1/29/2009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A72F7A">
          <w:rPr>
            <w:rFonts w:cs="Times New Roman"/>
            <w:color w:val="0000FF" w:themeColor="hyperlink"/>
            <w:u w:val="single"/>
          </w:rPr>
          <w:t>2/4/2009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A72F7A">
          <w:rPr>
            <w:rFonts w:cs="Times New Roman"/>
            <w:color w:val="0000FF" w:themeColor="hyperlink"/>
            <w:u w:val="single"/>
          </w:rPr>
          <w:t>2/5/2009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A72F7A">
          <w:rPr>
            <w:rFonts w:cs="Times New Roman"/>
            <w:color w:val="0000FF" w:themeColor="hyperlink"/>
            <w:u w:val="single"/>
          </w:rPr>
          <w:t>2/17/2009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A72F7A">
          <w:rPr>
            <w:rFonts w:cs="Times New Roman"/>
            <w:color w:val="0000FF" w:themeColor="hyperlink"/>
            <w:u w:val="single"/>
          </w:rPr>
          <w:t>2/18/2009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A72F7A">
          <w:rPr>
            <w:rFonts w:cs="Times New Roman"/>
            <w:color w:val="0000FF" w:themeColor="hyperlink"/>
            <w:u w:val="single"/>
          </w:rPr>
          <w:t>2/18/2009-A</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A72F7A">
          <w:rPr>
            <w:rFonts w:cs="Times New Roman"/>
            <w:color w:val="0000FF" w:themeColor="hyperlink"/>
            <w:u w:val="single"/>
          </w:rPr>
          <w:t>4/29/2009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A72F7A">
          <w:rPr>
            <w:rFonts w:cs="Times New Roman"/>
            <w:color w:val="0000FF" w:themeColor="hyperlink"/>
            <w:u w:val="single"/>
          </w:rPr>
          <w:t>4/30/2009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A72F7A">
          <w:rPr>
            <w:rFonts w:cs="Times New Roman"/>
            <w:color w:val="0000FF" w:themeColor="hyperlink"/>
            <w:u w:val="single"/>
          </w:rPr>
          <w:t>5/13/2009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A72F7A">
          <w:rPr>
            <w:rFonts w:cs="Times New Roman"/>
            <w:color w:val="0000FF" w:themeColor="hyperlink"/>
            <w:u w:val="single"/>
          </w:rPr>
          <w:t>5/20/2009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A72F7A">
          <w:rPr>
            <w:rFonts w:cs="Times New Roman"/>
            <w:color w:val="0000FF" w:themeColor="hyperlink"/>
            <w:u w:val="single"/>
          </w:rPr>
          <w:t>5/21/2009</w:t>
        </w:r>
      </w:hyperlink>
    </w:p>
    <w:p w:rsidR="00AC3314" w:rsidRDefault="00E9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A72F7A">
          <w:rPr>
            <w:rFonts w:cs="Times New Roman"/>
            <w:color w:val="0000FF" w:themeColor="hyperlink"/>
            <w:u w:val="single"/>
          </w:rPr>
          <w:t>5/21/2009-A</w:t>
        </w:r>
      </w:hyperlink>
    </w:p>
    <w:p w:rsidR="00AC3314" w:rsidRDefault="00AC3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3314" w:rsidRDefault="00AC3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3314">
          <w:pgSz w:w="12240" w:h="15840" w:code="1"/>
          <w:pgMar w:top="1080" w:right="1440" w:bottom="1080" w:left="1440" w:header="720" w:footer="720" w:gutter="0"/>
          <w:pgNumType w:start="1"/>
          <w:cols w:space="720"/>
          <w:noEndnote/>
          <w:docGrid w:linePitch="360"/>
        </w:sect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(A73, R64, S351)</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w:t>
      </w:r>
      <w:r>
        <w:rPr>
          <w:rFonts w:eastAsia="Times New Roman" w:cs="Times New Roman"/>
          <w:b/>
        </w:rPr>
        <w:noBreakHyphen/>
        <w:t>3</w:t>
      </w:r>
      <w:r>
        <w:rPr>
          <w:rFonts w:eastAsia="Times New Roman" w:cs="Times New Roman"/>
          <w:b/>
        </w:rPr>
        <w:noBreakHyphen/>
        <w:t>140, RELATING TO POWERS OF THE PORTS AUTHORITY, SO AS TO PROVIDE THAT THE BOARD OF DIRECTORS MUST ADOPT AN ORGANIZATIONAL STRUCTURE FOR AUTHORITY OPERATIONS, TO REQUIRE A LONG</w:t>
      </w:r>
      <w:r>
        <w:rPr>
          <w:rFonts w:eastAsia="Times New Roman" w:cs="Times New Roman"/>
          <w:b/>
        </w:rPr>
        <w:noBreakHyphen/>
        <w:t>RANGE PORT DEVELOPMENT AND CAPITAL FINANCING PLAN, TO PROVIDE THAT THE AUTHORITY MUST CONSIDER PUBLIC</w:t>
      </w:r>
      <w:r>
        <w:rPr>
          <w:rFonts w:eastAsia="Times New Roman" w:cs="Times New Roman"/>
          <w:b/>
        </w:rPr>
        <w:noBreakHyphen/>
        <w:t>PRIVATE PARTNERSHIPS FOR CURRENT AND FUTURE OPERATIONS, AND TO PROVIDE THAT THE AUTHORITY SHALL TAKE REASONABLE STEPS TO ESTABLISH RAIL ACCESS TO PORT FACILITIES; TO AMEND SECTION 54</w:t>
      </w:r>
      <w:r>
        <w:rPr>
          <w:rFonts w:eastAsia="Times New Roman" w:cs="Times New Roman"/>
          <w:b/>
        </w:rPr>
        <w:noBreakHyphen/>
        <w:t>3</w:t>
      </w:r>
      <w:r>
        <w:rPr>
          <w:rFonts w:eastAsia="Times New Roman" w:cs="Times New Roman"/>
          <w:b/>
        </w:rPr>
        <w:noBreakHyphen/>
        <w:t>1040, RELATING TO THE ANNUAL FINANCIAL STATEMENT, SO AS TO PROVIDE FOR THE FURNISHING OF THE STATEMENT TO CERTAIN OFFICIALS AND ENTITIES AND ITS POSTING ON THE AUTHORITY’S WEBSITE; BY ADDING SECTION 54</w:t>
      </w:r>
      <w:r>
        <w:rPr>
          <w:rFonts w:eastAsia="Times New Roman" w:cs="Times New Roman"/>
          <w:b/>
        </w:rPr>
        <w:noBreakHyphen/>
        <w:t>3</w:t>
      </w:r>
      <w:r>
        <w:rPr>
          <w:rFonts w:eastAsia="Times New Roman" w:cs="Times New Roman"/>
          <w:b/>
        </w:rPr>
        <w:noBreakHyphen/>
        <w:t>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w:t>
      </w:r>
      <w:r>
        <w:rPr>
          <w:rFonts w:eastAsia="Times New Roman" w:cs="Times New Roman"/>
          <w:b/>
        </w:rPr>
        <w:noBreakHyphen/>
        <w:t>3</w:t>
      </w:r>
      <w:r>
        <w:rPr>
          <w:rFonts w:eastAsia="Times New Roman" w:cs="Times New Roman"/>
          <w:b/>
        </w:rPr>
        <w:noBreakHyphen/>
        <w:t xml:space="preserve">155 SO AS TO PROVIDE THAT </w:t>
      </w:r>
      <w:r>
        <w:rPr>
          <w:rFonts w:eastAsia="Times New Roman" w:cs="Times New Roman"/>
          <w:b/>
          <w:snapToGrid w:val="0"/>
          <w:szCs w:val="2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Pr>
          <w:rFonts w:eastAsia="Times New Roman" w:cs="Times New Roman"/>
          <w:b/>
          <w:snapToGrid w:val="0"/>
          <w:szCs w:val="20"/>
        </w:rPr>
        <w:noBreakHyphen/>
        <w:t>3</w:t>
      </w:r>
      <w:r>
        <w:rPr>
          <w:rFonts w:eastAsia="Times New Roman" w:cs="Times New Roman"/>
          <w:b/>
          <w:snapToGrid w:val="0"/>
          <w:szCs w:val="20"/>
        </w:rPr>
        <w:noBreakHyphen/>
        <w:t>110, RELATING TO STATE HARBORS AND SEAPORTS OPERATED BY THE AUTHORITY, SO AS TO DELETE A REFERENCE TO PORT ROYAL AND ADD A REFERENCE TO JASPER; TO AMEND SECTION 54</w:t>
      </w:r>
      <w:r>
        <w:rPr>
          <w:rFonts w:eastAsia="Times New Roman" w:cs="Times New Roman"/>
          <w:b/>
          <w:snapToGrid w:val="0"/>
          <w:szCs w:val="20"/>
        </w:rPr>
        <w:noBreakHyphen/>
        <w:t>3</w:t>
      </w:r>
      <w:r>
        <w:rPr>
          <w:rFonts w:eastAsia="Times New Roman" w:cs="Times New Roman"/>
          <w:b/>
          <w:snapToGrid w:val="0"/>
          <w:szCs w:val="20"/>
        </w:rPr>
        <w:noBreakHyphen/>
        <w:t>130, RELATING TO THE PURPOSES OF THE AUTHORITY, SO AS TO REVISE REFERENCES TO THE PORTS IT IS REQUIRED TO DEVELOP; BY ADDING SECTION 54</w:t>
      </w:r>
      <w:r>
        <w:rPr>
          <w:rFonts w:eastAsia="Times New Roman" w:cs="Times New Roman"/>
          <w:b/>
          <w:snapToGrid w:val="0"/>
          <w:szCs w:val="20"/>
        </w:rPr>
        <w:noBreakHyphen/>
        <w:t>3</w:t>
      </w:r>
      <w:r>
        <w:rPr>
          <w:rFonts w:eastAsia="Times New Roman" w:cs="Times New Roman"/>
          <w:b/>
          <w:snapToGrid w:val="0"/>
          <w:szCs w:val="20"/>
        </w:rPr>
        <w:noBreakHyphen/>
        <w:t>115 SO AS TO DIRECT THE AUTHORITY TO TAKE ALL ACTION NECESSARY TO EXPEDITIOUSLY DEVELOP A PORT IN JASPER COUNTY IN A SPECIFIED MANNER; BY ADDING SECTION 54</w:t>
      </w:r>
      <w:r>
        <w:rPr>
          <w:rFonts w:eastAsia="Times New Roman" w:cs="Times New Roman"/>
          <w:b/>
          <w:snapToGrid w:val="0"/>
          <w:szCs w:val="20"/>
        </w:rPr>
        <w:noBreakHyphen/>
        <w:t>3</w:t>
      </w:r>
      <w:r>
        <w:rPr>
          <w:rFonts w:eastAsia="Times New Roman" w:cs="Times New Roman"/>
          <w:b/>
          <w:snapToGrid w:val="0"/>
          <w:szCs w:val="20"/>
        </w:rPr>
        <w:noBreakHyphen/>
        <w:t xml:space="preserve">117 SO AS TO PROVIDE THAT </w:t>
      </w:r>
      <w:r>
        <w:rPr>
          <w:rFonts w:cs="Times New Roman"/>
          <w:b/>
          <w:u w:color="000000" w:themeColor="text1"/>
        </w:rPr>
        <w:t>THE AUTHORITY SHALL TAKE ALL ACTION NECESSARY TO EXPEDITIOUSLY COMPLETE CONSTRUCTION OF A CONTAINER TERMINAL IN NORTH CHARLESTON; BY ADDING SECTION 54</w:t>
      </w:r>
      <w:r>
        <w:rPr>
          <w:rFonts w:cs="Times New Roman"/>
          <w:b/>
          <w:u w:color="000000" w:themeColor="text1"/>
        </w:rPr>
        <w:noBreakHyphen/>
        <w:t>3</w:t>
      </w:r>
      <w:r>
        <w:rPr>
          <w:rFonts w:cs="Times New Roman"/>
          <w:b/>
          <w:u w:color="000000" w:themeColor="text1"/>
        </w:rPr>
        <w:noBreakHyphen/>
        <w:t xml:space="preserve">118 SO AS TO PROVIDE THAT </w:t>
      </w:r>
      <w:r>
        <w:rPr>
          <w:rFonts w:eastAsia="Times New Roman" w:cs="Times New Roman"/>
          <w:b/>
          <w:snapToGrid w:val="0"/>
          <w:szCs w:val="20"/>
        </w:rPr>
        <w:t>IT IS THE INTENT OF THE GENERAL ASSEMBLY THAT THE STATE PORTS AUTHORITY BOARD CONSIDER PUBLIC</w:t>
      </w:r>
      <w:r>
        <w:rPr>
          <w:rFonts w:eastAsia="Times New Roman" w:cs="Times New Roman"/>
          <w:b/>
          <w:snapToGrid w:val="0"/>
          <w:szCs w:val="20"/>
        </w:rPr>
        <w:noBreakHyphen/>
        <w:t>PRIVATE PARTNERSHIPS WITH PRIVATE INVESTORS THAT INCREASE CAPITAL INVESTMENTS IN PORT FACILITIES AND IN THE STATE OF SOUTH CAROLINA; BY ADDING SECTION 13</w:t>
      </w:r>
      <w:r>
        <w:rPr>
          <w:rFonts w:eastAsia="Times New Roman" w:cs="Times New Roman"/>
          <w:b/>
          <w:snapToGrid w:val="0"/>
          <w:szCs w:val="20"/>
        </w:rPr>
        <w:noBreakHyphen/>
        <w:t>1</w:t>
      </w:r>
      <w:r>
        <w:rPr>
          <w:rFonts w:eastAsia="Times New Roman" w:cs="Times New Roman"/>
          <w:b/>
          <w:snapToGrid w:val="0"/>
          <w:szCs w:val="2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Pr>
          <w:rFonts w:eastAsia="Times New Roman" w:cs="Times New Roman"/>
          <w:b/>
          <w:snapToGrid w:val="0"/>
          <w:szCs w:val="20"/>
        </w:rPr>
        <w:noBreakHyphen/>
        <w:t>6</w:t>
      </w:r>
      <w:r>
        <w:rPr>
          <w:rFonts w:eastAsia="Times New Roman" w:cs="Times New Roman"/>
          <w:b/>
          <w:snapToGrid w:val="0"/>
          <w:szCs w:val="20"/>
        </w:rPr>
        <w:noBreakHyphen/>
        <w:t>3450 MAY NOT BE TRANSFERRED WITHOUT THE PRIOR APPROVAL OF THE STATE BUDGET AND CONTROL BOARD; TO AMEND SECTION 1</w:t>
      </w:r>
      <w:r>
        <w:rPr>
          <w:rFonts w:eastAsia="Times New Roman" w:cs="Times New Roman"/>
          <w:b/>
          <w:snapToGrid w:val="0"/>
          <w:szCs w:val="20"/>
        </w:rPr>
        <w:noBreakHyphen/>
        <w:t>3</w:t>
      </w:r>
      <w:r>
        <w:rPr>
          <w:rFonts w:eastAsia="Times New Roman" w:cs="Times New Roman"/>
          <w:b/>
          <w:snapToGrid w:val="0"/>
          <w:szCs w:val="20"/>
        </w:rPr>
        <w:noBreakHyphen/>
        <w:t>240, RELATING TO THE REMOVAL OF OFFICERS BY THE GOVERNOR, SO AS TO ADD THE STATE PORTS AUTHORITY TO THE LIST OF ENTITIES THE GOVERNING BOARD OF WHICH MAY BE REMOVED BY THE GOVERNOR ONLY FOR CERTAIN REASONS CONSTITUTING CAUSE; TO AMEND SECTION 54</w:t>
      </w:r>
      <w:r>
        <w:rPr>
          <w:rFonts w:eastAsia="Times New Roman" w:cs="Times New Roman"/>
          <w:b/>
          <w:snapToGrid w:val="0"/>
          <w:szCs w:val="20"/>
        </w:rPr>
        <w:noBreakHyphen/>
        <w:t>3</w:t>
      </w:r>
      <w:r>
        <w:rPr>
          <w:rFonts w:eastAsia="Times New Roman" w:cs="Times New Roman"/>
          <w:b/>
          <w:snapToGrid w:val="0"/>
          <w:szCs w:val="20"/>
        </w:rPr>
        <w:noBreakHyphen/>
        <w:t>700, RELATING TO CESSATION OF MARINE TERMINAL OPERATIONS AT PORT ROYAL, SO AS TO FURTHER PROVIDE FOR ITS CESSATION AND THE MANNER IN WHICH THE PORT ROYAL REAL PROPERTY SHALL BE SOLD; BY ADDING SECTION 54</w:t>
      </w:r>
      <w:r>
        <w:rPr>
          <w:rFonts w:eastAsia="Times New Roman" w:cs="Times New Roman"/>
          <w:b/>
          <w:snapToGrid w:val="0"/>
          <w:szCs w:val="20"/>
        </w:rPr>
        <w:noBreakHyphen/>
        <w:t>3</w:t>
      </w:r>
      <w:r>
        <w:rPr>
          <w:rFonts w:eastAsia="Times New Roman" w:cs="Times New Roman"/>
          <w:b/>
          <w:snapToGrid w:val="0"/>
          <w:szCs w:val="20"/>
        </w:rPr>
        <w:noBreakHyphen/>
        <w:t xml:space="preserve">119 SO AS TO PROVIDE THAT </w:t>
      </w:r>
      <w:r>
        <w:rPr>
          <w:rFonts w:eastAsia="Times New Roman" w:cs="Times New Roman"/>
          <w:b/>
          <w:szCs w:val="20"/>
        </w:rPr>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Pr>
          <w:rFonts w:eastAsia="Times New Roman" w:cs="Times New Roman"/>
          <w:b/>
          <w:snapToGrid w:val="0"/>
          <w:szCs w:val="2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Pr>
          <w:rFonts w:eastAsia="Times New Roman" w:cs="Times New Roman"/>
          <w:b/>
          <w:szCs w:val="20"/>
        </w:rPr>
        <w:t>SECTION 54</w:t>
      </w:r>
      <w:r>
        <w:rPr>
          <w:rFonts w:eastAsia="Times New Roman" w:cs="Times New Roman"/>
          <w:b/>
          <w:szCs w:val="20"/>
        </w:rPr>
        <w:noBreakHyphen/>
        <w:t>3</w:t>
      </w:r>
      <w:r>
        <w:rPr>
          <w:rFonts w:eastAsia="Times New Roman" w:cs="Times New Roman"/>
          <w:b/>
          <w:szCs w:val="20"/>
        </w:rPr>
        <w:noBreakHyphen/>
        <w:t xml:space="preserve">700 </w:t>
      </w:r>
      <w:r>
        <w:rPr>
          <w:rFonts w:eastAsia="Times New Roman" w:cs="Times New Roman"/>
          <w:b/>
          <w:snapToGrid w:val="0"/>
          <w:szCs w:val="20"/>
        </w:rPr>
        <w:t>SHOULD BE USED TO BUILD THE BOAT LANDING.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bookmarkStart w:id="1" w:name="titleend"/>
      <w:bookmarkEnd w:id="1"/>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Ports Authority organization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1.</w:t>
      </w:r>
      <w:r>
        <w:rPr>
          <w:rFonts w:eastAsia="Times New Roman" w:cs="Times New Roman"/>
          <w:snapToGrid w:val="0"/>
          <w:szCs w:val="20"/>
        </w:rPr>
        <w:tab/>
        <w:t>Article 1, Chapter 3, Title 54 of the 1976 Code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“Article</w:t>
      </w:r>
      <w:r>
        <w:rPr>
          <w:rFonts w:eastAsia="Times New Roman" w:cs="Times New Roman"/>
          <w:snapToGrid w:val="0"/>
          <w:szCs w:val="20"/>
        </w:rPr>
        <w:tab/>
        <w:t>1</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Creation and Organization</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w:t>
      </w:r>
      <w:r>
        <w:rPr>
          <w:rFonts w:eastAsia="Times New Roman" w:cs="Times New Roman"/>
          <w:snapToGrid w:val="0"/>
          <w:szCs w:val="20"/>
        </w:rPr>
        <w:tab/>
        <w:t xml:space="preserve"> (A)</w:t>
      </w:r>
      <w:r>
        <w:rPr>
          <w:rFonts w:eastAsia="Times New Roman" w:cs="Times New Roman"/>
          <w:snapToGrid w:val="0"/>
          <w:szCs w:val="20"/>
        </w:rPr>
        <w:tab/>
        <w:t>There is created the South Carolina State Ports Authority.  The governing body of the authority is a board of directors consisting of eleven members, nine voting members appointed by the Governor as provided in Section 54</w:t>
      </w:r>
      <w:r>
        <w:rPr>
          <w:rFonts w:eastAsia="Times New Roman" w:cs="Times New Roman"/>
          <w:snapToGrid w:val="0"/>
          <w:szCs w:val="20"/>
        </w:rPr>
        <w:noBreakHyphen/>
        <w:t>3</w:t>
      </w:r>
      <w:r>
        <w:rPr>
          <w:rFonts w:eastAsia="Times New Roman" w:cs="Times New Roman"/>
          <w:snapToGrid w:val="0"/>
          <w:szCs w:val="20"/>
        </w:rPr>
        <w:noBreakHyphen/>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The Secretary of Transportation and the Secretary of Commerce: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shall serve on the board, ex officio, as nonvoting members;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are ineligible for election as chairman, vice chairman, secretary, treasurer, or any other office elected by the board;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may only attend meetings or portions of meetings open to the public.  They are not permitted to attend executive session meetings.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20.</w:t>
      </w:r>
      <w:r>
        <w:rPr>
          <w:rFonts w:eastAsia="Times New Roman" w:cs="Times New Roman"/>
          <w:snapToGrid w:val="0"/>
          <w:szCs w:val="20"/>
        </w:rPr>
        <w:tab/>
        <w:t>(A)</w:t>
      </w:r>
      <w:r>
        <w:rPr>
          <w:rFonts w:eastAsia="Times New Roman" w:cs="Times New Roman"/>
          <w:snapToGrid w:val="0"/>
          <w:szCs w:val="20"/>
        </w:rPr>
        <w:tab/>
        <w:t>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A candidate for appointment to the board may not be confirmed by the Senate or serve on the board, even in an interim capacity, until he is found qualified by possessing the abilities, the experience, and the minimum qualifications contained in Section 54</w:t>
      </w:r>
      <w:r>
        <w:rPr>
          <w:rFonts w:eastAsia="Times New Roman" w:cs="Times New Roman"/>
          <w:snapToGrid w:val="0"/>
          <w:szCs w:val="20"/>
        </w:rPr>
        <w:noBreakHyphen/>
        <w:t>3</w:t>
      </w:r>
      <w:r>
        <w:rPr>
          <w:rFonts w:eastAsia="Times New Roman" w:cs="Times New Roman"/>
          <w:snapToGrid w:val="0"/>
          <w:szCs w:val="20"/>
        </w:rPr>
        <w:noBreakHyphen/>
        <w:t>60.</w:t>
      </w:r>
      <w:r>
        <w:rPr>
          <w:rFonts w:eastAsia="Times New Roman" w:cs="Times New Roman"/>
          <w:snapToGrid w:val="0"/>
          <w:szCs w:val="20"/>
        </w:rPr>
        <w:tab/>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30.</w:t>
      </w:r>
      <w:r>
        <w:rPr>
          <w:rFonts w:eastAsia="Times New Roman" w:cs="Times New Roman"/>
          <w:snapToGrid w:val="0"/>
          <w:szCs w:val="20"/>
        </w:rPr>
        <w:tab/>
        <w:t xml:space="preserve"> The board shall elect one of its members to serve as chairman who shall serve for a term of two years in this capacity and may not serve more than three consecutive full two</w:t>
      </w:r>
      <w:r>
        <w:rPr>
          <w:rFonts w:eastAsia="Times New Roman" w:cs="Times New Roman"/>
          <w:snapToGrid w:val="0"/>
          <w:szCs w:val="20"/>
        </w:rPr>
        <w:noBreakHyphen/>
        <w:t>year terms as chairman.  The board also shall elect one member to serve as vice chairman, and one member to serve as secretary.  The board shall meet upon the call of its chairman and a majority of its voting members shall constitute a quorum for the transaction of its business.</w:t>
      </w:r>
      <w:r>
        <w:rPr>
          <w:rFonts w:eastAsia="Times New Roman" w:cs="Times New Roman"/>
          <w:snapToGrid w:val="0"/>
          <w:szCs w:val="20"/>
        </w:rPr>
        <w:tab/>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40.</w:t>
      </w:r>
      <w:r>
        <w:rPr>
          <w:rFonts w:eastAsia="Times New Roman" w:cs="Times New Roman"/>
          <w:snapToGrid w:val="0"/>
          <w:szCs w:val="20"/>
        </w:rPr>
        <w:tab/>
        <w:t>The board shall select one of its members to serve as treasurer. The treasurer shall give a surety bond in an amount fixed by the board and the premium on the bond shall be paid by the authority as a necessary expense.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50.</w:t>
      </w:r>
      <w:r>
        <w:rPr>
          <w:rFonts w:eastAsia="Times New Roman" w:cs="Times New Roman"/>
          <w:snapToGrid w:val="0"/>
          <w:szCs w:val="20"/>
        </w:rPr>
        <w:tab/>
        <w:t>Members of the board of directors may be removed by the Governor pursuant to Section 1</w:t>
      </w:r>
      <w:r>
        <w:rPr>
          <w:rFonts w:eastAsia="Times New Roman" w:cs="Times New Roman"/>
          <w:snapToGrid w:val="0"/>
          <w:szCs w:val="20"/>
        </w:rPr>
        <w:noBreakHyphen/>
        <w:t>3</w:t>
      </w:r>
      <w:r>
        <w:rPr>
          <w:rFonts w:eastAsia="Times New Roman" w:cs="Times New Roman"/>
          <w:snapToGrid w:val="0"/>
          <w:szCs w:val="20"/>
        </w:rPr>
        <w:noBreakHyphen/>
        <w:t>240(C)(1), for a breach of duty required by Section 54</w:t>
      </w:r>
      <w:r>
        <w:rPr>
          <w:rFonts w:eastAsia="Times New Roman" w:cs="Times New Roman"/>
          <w:snapToGrid w:val="0"/>
          <w:szCs w:val="20"/>
        </w:rPr>
        <w:noBreakHyphen/>
        <w:t>3</w:t>
      </w:r>
      <w:r>
        <w:rPr>
          <w:rFonts w:eastAsia="Times New Roman" w:cs="Times New Roman"/>
          <w:snapToGrid w:val="0"/>
          <w:szCs w:val="20"/>
        </w:rPr>
        <w:noBreakHyphen/>
        <w:t>80, or for entering into a conflict of interest transaction prohibited by Section 54</w:t>
      </w:r>
      <w:r>
        <w:rPr>
          <w:rFonts w:eastAsia="Times New Roman" w:cs="Times New Roman"/>
          <w:snapToGrid w:val="0"/>
          <w:szCs w:val="20"/>
        </w:rPr>
        <w:noBreakHyphen/>
        <w:t>3</w:t>
      </w:r>
      <w:r>
        <w:rPr>
          <w:rFonts w:eastAsia="Times New Roman" w:cs="Times New Roman"/>
          <w:snapToGrid w:val="0"/>
          <w:szCs w:val="20"/>
        </w:rPr>
        <w:noBreakHyphen/>
        <w:t>90.</w:t>
      </w:r>
      <w:r>
        <w:rPr>
          <w:rFonts w:eastAsia="Times New Roman" w:cs="Times New Roman"/>
          <w:snapToGrid w:val="0"/>
          <w:szCs w:val="20"/>
        </w:rPr>
        <w:tab/>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60.</w:t>
      </w:r>
      <w:r>
        <w:rPr>
          <w:rFonts w:eastAsia="Times New Roman" w:cs="Times New Roman"/>
          <w:snapToGrid w:val="0"/>
          <w:szCs w:val="20"/>
        </w:rPr>
        <w:tab/>
        <w:t>(A)</w:t>
      </w:r>
      <w:r>
        <w:rPr>
          <w:rFonts w:eastAsia="Times New Roman" w:cs="Times New Roman"/>
          <w:snapToGrid w:val="0"/>
          <w:szCs w:val="20"/>
        </w:rPr>
        <w:tab/>
        <w:t>Each member of the board, except for the Secretary of Transportation and the Secretary of Commerce, or their designees, must possess a four</w:t>
      </w:r>
      <w:r>
        <w:rPr>
          <w:rFonts w:eastAsia="Times New Roman" w:cs="Times New Roman"/>
          <w:snapToGrid w:val="0"/>
          <w:szCs w:val="20"/>
        </w:rPr>
        <w:noBreakHyphen/>
        <w:t>year baccalaureate or more advanced degree from:</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a recognized institution of higher learning requiring face</w:t>
      </w:r>
      <w:r>
        <w:rPr>
          <w:rFonts w:eastAsia="Times New Roman" w:cs="Times New Roman"/>
          <w:snapToGrid w:val="0"/>
          <w:szCs w:val="20"/>
        </w:rPr>
        <w:noBreakHyphen/>
        <w:t>to</w:t>
      </w:r>
      <w:r>
        <w:rPr>
          <w:rFonts w:eastAsia="Times New Roman" w:cs="Times New Roman"/>
          <w:snapToGrid w:val="0"/>
          <w:szCs w:val="20"/>
        </w:rPr>
        <w:noBreakHyphen/>
        <w:t>face contact between its students and instructors prior to completion of the academic program;</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an institution of higher learning that has been accredited by a regional or national accrediting body; or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an institution of higher learning in this State chartered prior to 1962.</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In addition to the requirements in subsection (A), each board member must possess a background of at least five years in any one or any combination of the following fields of expertise: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(a)</w:t>
      </w:r>
      <w:r>
        <w:rPr>
          <w:rFonts w:eastAsia="Times New Roman" w:cs="Times New Roman"/>
          <w:snapToGrid w:val="0"/>
          <w:szCs w:val="20"/>
        </w:rPr>
        <w:tab/>
        <w:t>maritime shipping;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(b)</w:t>
      </w:r>
      <w:r>
        <w:rPr>
          <w:rFonts w:eastAsia="Times New Roman" w:cs="Times New Roman"/>
          <w:snapToGrid w:val="0"/>
          <w:szCs w:val="20"/>
        </w:rPr>
        <w:tab/>
        <w:t>labor related to maritime shipping;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(c)</w:t>
      </w:r>
      <w:r>
        <w:rPr>
          <w:rFonts w:eastAsia="Times New Roman" w:cs="Times New Roman"/>
          <w:snapToGrid w:val="0"/>
          <w:szCs w:val="20"/>
        </w:rPr>
        <w:tab/>
        <w:t>overland shipping by truck or rail, or both;</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(d)</w:t>
      </w:r>
      <w:r>
        <w:rPr>
          <w:rFonts w:eastAsia="Times New Roman" w:cs="Times New Roman"/>
          <w:snapToGrid w:val="0"/>
          <w:szCs w:val="20"/>
        </w:rPr>
        <w:tab/>
        <w:t>international commerce;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(e)</w:t>
      </w:r>
      <w:r>
        <w:rPr>
          <w:rFonts w:eastAsia="Times New Roman" w:cs="Times New Roman"/>
          <w:snapToGrid w:val="0"/>
          <w:szCs w:val="20"/>
        </w:rPr>
        <w:tab/>
        <w:t>finance, economics, or statistics;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(f)</w:t>
      </w:r>
      <w:r>
        <w:rPr>
          <w:rFonts w:eastAsia="Times New Roman" w:cs="Times New Roman"/>
          <w:snapToGrid w:val="0"/>
          <w:szCs w:val="20"/>
        </w:rPr>
        <w:tab/>
        <w:t>accounting;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(g)</w:t>
      </w:r>
      <w:r>
        <w:rPr>
          <w:rFonts w:eastAsia="Times New Roman" w:cs="Times New Roman"/>
          <w:snapToGrid w:val="0"/>
          <w:szCs w:val="20"/>
        </w:rPr>
        <w:tab/>
        <w:t>engineering;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(h)</w:t>
      </w:r>
      <w:r>
        <w:rPr>
          <w:rFonts w:eastAsia="Times New Roman" w:cs="Times New Roman"/>
          <w:snapToGrid w:val="0"/>
          <w:szCs w:val="20"/>
        </w:rPr>
        <w:tab/>
        <w:t>law; or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(i)</w:t>
      </w:r>
      <w:r>
        <w:rPr>
          <w:rFonts w:eastAsia="Times New Roman" w:cs="Times New Roman"/>
          <w:snapToGrid w:val="0"/>
          <w:szCs w:val="20"/>
        </w:rPr>
        <w:tab/>
      </w:r>
      <w:r>
        <w:rPr>
          <w:rFonts w:eastAsia="Times New Roman" w:cs="Times New Roman"/>
          <w:snapToGrid w:val="0"/>
          <w:szCs w:val="20"/>
        </w:rPr>
        <w:tab/>
        <w:t>business management gained from serving as a chief executive officer, president, or managing director of a business or any upper level management position with a business that is equivalent in duties and responsibilities to the positions listed in this item.</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(C)</w:t>
      </w:r>
      <w:r>
        <w:rPr>
          <w:rFonts w:eastAsia="Times New Roman" w:cs="Times New Roman"/>
          <w:snapToGrid w:val="0"/>
          <w:szCs w:val="20"/>
        </w:rPr>
        <w:tab/>
        <w:t>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and a member who has served as a corporate chief executive officer.  Consideration of these factors in making an appointment in no way creates a cause of action or basis for an employee grievance for a person appointed or for a person who fails to be appointed.</w:t>
      </w:r>
      <w:r>
        <w:rPr>
          <w:rFonts w:eastAsia="Times New Roman" w:cs="Times New Roman"/>
          <w:snapToGrid w:val="0"/>
          <w:szCs w:val="20"/>
        </w:rPr>
        <w:tab/>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70.</w:t>
      </w:r>
      <w:r>
        <w:rPr>
          <w:rFonts w:eastAsia="Times New Roman" w:cs="Times New Roman"/>
          <w:snapToGrid w:val="0"/>
          <w:szCs w:val="20"/>
        </w:rPr>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80.</w:t>
      </w:r>
      <w:r>
        <w:rPr>
          <w:rFonts w:eastAsia="Times New Roman" w:cs="Times New Roman"/>
          <w:snapToGrid w:val="0"/>
          <w:szCs w:val="20"/>
        </w:rPr>
        <w:tab/>
        <w:t>(A)</w:t>
      </w:r>
      <w:r>
        <w:rPr>
          <w:rFonts w:eastAsia="Times New Roman" w:cs="Times New Roman"/>
          <w:snapToGrid w:val="0"/>
          <w:szCs w:val="20"/>
        </w:rPr>
        <w:tab/>
        <w:t xml:space="preserve">A member of the board of directors shall discharge his duties as a director, including his duties as a member of a committee: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 xml:space="preserve">in good faith;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 xml:space="preserve">with the care an ordinarily prudent person in a like position would exercise under similar circumstances; and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 xml:space="preserve">in a manner he reasonably believes to be in the best interests of the authority.  As used in this chapter, best interests means a balancing of the following: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(a)</w:t>
      </w:r>
      <w:r>
        <w:rPr>
          <w:rFonts w:eastAsia="Times New Roman" w:cs="Times New Roman"/>
          <w:snapToGrid w:val="0"/>
          <w:szCs w:val="20"/>
        </w:rPr>
        <w:tab/>
        <w:t>achieving the purposes of the authority as provided in Section 54</w:t>
      </w:r>
      <w:r>
        <w:rPr>
          <w:rFonts w:eastAsia="Times New Roman" w:cs="Times New Roman"/>
          <w:snapToGrid w:val="0"/>
          <w:szCs w:val="20"/>
        </w:rPr>
        <w:noBreakHyphen/>
        <w:t>3</w:t>
      </w:r>
      <w:r>
        <w:rPr>
          <w:rFonts w:eastAsia="Times New Roman" w:cs="Times New Roman"/>
          <w:snapToGrid w:val="0"/>
          <w:szCs w:val="20"/>
        </w:rPr>
        <w:noBreakHyphen/>
        <w:t>130;</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(b)</w:t>
      </w:r>
      <w:r>
        <w:rPr>
          <w:rFonts w:eastAsia="Times New Roman" w:cs="Times New Roman"/>
          <w:snapToGrid w:val="0"/>
          <w:szCs w:val="20"/>
        </w:rPr>
        <w:tab/>
        <w:t xml:space="preserve">preservation of the financial integrity of the State Ports Authority and its ongoing operations;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(c)</w:t>
      </w:r>
      <w:r>
        <w:rPr>
          <w:rFonts w:eastAsia="Times New Roman" w:cs="Times New Roman"/>
          <w:snapToGrid w:val="0"/>
          <w:szCs w:val="20"/>
        </w:rPr>
        <w:tab/>
        <w:t>economic development and job attraction and retention;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(d)</w:t>
      </w:r>
      <w:r>
        <w:rPr>
          <w:rFonts w:eastAsia="Times New Roman" w:cs="Times New Roman"/>
          <w:snapToGrid w:val="0"/>
          <w:szCs w:val="20"/>
        </w:rPr>
        <w:tab/>
        <w:t>consideration given to diminish or mitigate any negative effect port operations or expansion may have upon the environment, transportation infrastructure, and quality of life of residents in communities located near existing or proposed port facilities;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(e)</w:t>
      </w:r>
      <w:r>
        <w:rPr>
          <w:rFonts w:eastAsia="Times New Roman" w:cs="Times New Roman"/>
          <w:snapToGrid w:val="0"/>
          <w:szCs w:val="20"/>
        </w:rPr>
        <w:tab/>
        <w:t>exercise of the powers of the authority in accordance with good business practices and the requirements of applicable licenses, laws, and regulations.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 xml:space="preserve">In discharging his duties, a director is entitled to rely on information, opinions, reports, or statements, including financial statements and other financial data, if prepared or presented by: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 xml:space="preserve">one or more officers or employees of the State whom the director reasonably believes to be reliable and competent in the matters presented;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 xml:space="preserve">legal counsel, public accountants, or other persons as to matters the director reasonably believes are within the person’s professional or expert competence; or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 xml:space="preserve">a committee of the board of directors of which he is not a member if the director reasonably believes the committee merits confidence.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(C)</w:t>
      </w:r>
      <w:r>
        <w:rPr>
          <w:rFonts w:eastAsia="Times New Roman" w:cs="Times New Roman"/>
          <w:snapToGrid w:val="0"/>
          <w:szCs w:val="20"/>
        </w:rPr>
        <w:tab/>
        <w:t xml:space="preserve">A director is not acting in good faith if he has knowledge concerning the matter in question that makes reliance otherwise permitted by subsection (B) unwarranted.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(D)</w:t>
      </w:r>
      <w:r>
        <w:rPr>
          <w:rFonts w:eastAsia="Times New Roman" w:cs="Times New Roman"/>
          <w:snapToGrid w:val="0"/>
          <w:szCs w:val="20"/>
        </w:rPr>
        <w:tab/>
        <w:t>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90.</w:t>
      </w:r>
      <w:r>
        <w:rPr>
          <w:rFonts w:eastAsia="Times New Roman" w:cs="Times New Roman"/>
          <w:snapToGrid w:val="0"/>
          <w:szCs w:val="20"/>
        </w:rPr>
        <w:tab/>
        <w:t>(A)</w:t>
      </w:r>
      <w:r>
        <w:rPr>
          <w:rFonts w:eastAsia="Times New Roman" w:cs="Times New Roman"/>
          <w:snapToGrid w:val="0"/>
          <w:szCs w:val="20"/>
        </w:rPr>
        <w:tab/>
        <w:t xml:space="preserve">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 xml:space="preserve">the material facts of the transaction and the director’s interest were disclosed or known to the board or a committee of the board, and the board or a committee of the board authorized, approved, or ratified the transaction; or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the transaction was fair to the authority and its customers.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 xml:space="preserve">For purposes of this section, a director has an indirect interest in a transaction if: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 xml:space="preserve">another entity in which he has a material financial interest or in which he is a general partner is a party to the transaction;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another entity of which he is a director, officer, member, or trustee is a party to the transaction and the transaction is or should be considered by the board; or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(C)</w:t>
      </w:r>
      <w:r>
        <w:rPr>
          <w:rFonts w:eastAsia="Times New Roman" w:cs="Times New Roman"/>
          <w:snapToGrid w:val="0"/>
          <w:szCs w:val="20"/>
        </w:rPr>
        <w:tab/>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Ports Authority management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w:t>
      </w:r>
      <w:r>
        <w:rPr>
          <w:rFonts w:eastAsia="Times New Roman" w:cs="Times New Roman"/>
          <w:snapToGrid w:val="0"/>
          <w:szCs w:val="20"/>
        </w:rPr>
        <w:tab/>
        <w:t>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“Article 2</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Ports Authority Management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101.</w:t>
      </w:r>
      <w:r>
        <w:rPr>
          <w:rFonts w:eastAsia="Times New Roman" w:cs="Times New Roman"/>
          <w:snapToGrid w:val="0"/>
          <w:szCs w:val="20"/>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102.</w:t>
      </w:r>
      <w:r>
        <w:rPr>
          <w:rFonts w:eastAsia="Times New Roman" w:cs="Times New Roman"/>
          <w:snapToGrid w:val="0"/>
          <w:szCs w:val="20"/>
        </w:rPr>
        <w:tab/>
        <w:t>(A)</w:t>
      </w:r>
      <w:r>
        <w:rPr>
          <w:rFonts w:eastAsia="Times New Roman" w:cs="Times New Roman"/>
          <w:snapToGrid w:val="0"/>
          <w:szCs w:val="20"/>
        </w:rPr>
        <w:tab/>
        <w:t xml:space="preserve">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The executive director shall appoint a director for each division contained in the organizational structure established by the board of directors, who shall serve at the pleasure of the executive director.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(C)</w:t>
      </w:r>
      <w:r>
        <w:rPr>
          <w:rFonts w:eastAsia="Times New Roman" w:cs="Times New Roman"/>
          <w:snapToGrid w:val="0"/>
          <w:szCs w:val="20"/>
        </w:rPr>
        <w:tab/>
        <w:t>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103.</w:t>
      </w:r>
      <w:r>
        <w:rPr>
          <w:rFonts w:eastAsia="Times New Roman" w:cs="Times New Roman"/>
          <w:snapToGrid w:val="0"/>
          <w:szCs w:val="20"/>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104.</w:t>
      </w:r>
      <w:r>
        <w:rPr>
          <w:rFonts w:eastAsia="Times New Roman" w:cs="Times New Roman"/>
          <w:snapToGrid w:val="0"/>
          <w:szCs w:val="20"/>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105.</w:t>
      </w:r>
      <w:r>
        <w:rPr>
          <w:rFonts w:eastAsia="Times New Roman" w:cs="Times New Roman"/>
          <w:snapToGrid w:val="0"/>
          <w:szCs w:val="20"/>
        </w:rPr>
        <w:tab/>
        <w:t>The Director of Port Operations for the port of Georgetown is charged with the affirmative duty to carry out the mission, policies, and direction of the authority for the port of Georgetown as established by the board of directors.”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Organizational structure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3.</w:t>
      </w: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140(5) of the 1976 Code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“(5)</w:t>
      </w:r>
      <w:r>
        <w:rPr>
          <w:rFonts w:eastAsia="Times New Roman" w:cs="Times New Roman"/>
          <w:snapToGrid w:val="0"/>
          <w:szCs w:val="20"/>
        </w:rPr>
        <w:tab/>
        <w:t>Shall adopt an organizational structure for authority operations implemented by the executive director;”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Additional powers and duties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w:t>
      </w: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140 of the 1976 Code is amended by adding appropriately numbered items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 )</w:t>
      </w:r>
      <w:r>
        <w:rPr>
          <w:rFonts w:eastAsia="Times New Roman" w:cs="Times New Roman"/>
          <w:snapToGrid w:val="0"/>
          <w:szCs w:val="20"/>
        </w:rPr>
        <w:tab/>
        <w:t>Shall develop a long</w:t>
      </w:r>
      <w:r>
        <w:rPr>
          <w:rFonts w:eastAsia="Times New Roman" w:cs="Times New Roman"/>
          <w:snapToGrid w:val="0"/>
          <w:szCs w:val="20"/>
        </w:rPr>
        <w:noBreakHyphen/>
        <w:t>range port development and capital financing plan, with a minimum twenty</w:t>
      </w:r>
      <w:r>
        <w:rPr>
          <w:rFonts w:eastAsia="Times New Roman" w:cs="Times New Roman"/>
          <w:snapToGrid w:val="0"/>
          <w:szCs w:val="20"/>
        </w:rPr>
        <w:noBreakHyphen/>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Pr>
          <w:rFonts w:eastAsia="Times New Roman" w:cs="Times New Roman"/>
          <w:snapToGrid w:val="0"/>
          <w:szCs w:val="20"/>
        </w:rPr>
        <w:noBreakHyphen/>
        <w:t>range plan must be submitted to the General Assembly;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 )</w:t>
      </w:r>
      <w:r>
        <w:rPr>
          <w:rFonts w:eastAsia="Times New Roman" w:cs="Times New Roman"/>
          <w:snapToGrid w:val="0"/>
          <w:szCs w:val="20"/>
        </w:rPr>
        <w:tab/>
        <w:t xml:space="preserve"> Shall review port operations and proposals for future operations and construction to determine whether utilizing a public</w:t>
      </w:r>
      <w:r>
        <w:rPr>
          <w:rFonts w:eastAsia="Times New Roman" w:cs="Times New Roman"/>
          <w:snapToGrid w:val="0"/>
          <w:szCs w:val="20"/>
        </w:rPr>
        <w:noBreakHyphen/>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 )</w:t>
      </w:r>
      <w:r>
        <w:rPr>
          <w:rFonts w:eastAsia="Times New Roman" w:cs="Times New Roman"/>
          <w:snapToGrid w:val="0"/>
          <w:szCs w:val="20"/>
        </w:rPr>
        <w:tab/>
        <w:t xml:space="preserve">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Financial statement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w:t>
      </w: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1040 of the 1976 Code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1040.</w:t>
      </w:r>
      <w:r>
        <w:rPr>
          <w:rFonts w:eastAsia="Times New Roman" w:cs="Times New Roman"/>
          <w:snapToGrid w:val="0"/>
          <w:szCs w:val="20"/>
        </w:rPr>
        <w:tab/>
        <w:t>At least once each year the authority shall furnish the Governor, the Chairmen of the Senate Transportation Committee and the House of Representatives Ways and Means Committee and conspicuously post on the authority’s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Transaction register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w:t>
      </w:r>
      <w:r>
        <w:rPr>
          <w:rFonts w:eastAsia="Times New Roman" w:cs="Times New Roman"/>
          <w:snapToGrid w:val="0"/>
          <w:szCs w:val="20"/>
        </w:rPr>
        <w:tab/>
        <w:t>Article 11, 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1060.</w:t>
      </w:r>
      <w:r>
        <w:rPr>
          <w:rFonts w:eastAsia="Times New Roman" w:cs="Times New Roman"/>
          <w:snapToGrid w:val="0"/>
          <w:szCs w:val="20"/>
        </w:rPr>
        <w:tab/>
        <w:t>(A)</w:t>
      </w:r>
      <w:r>
        <w:rPr>
          <w:rFonts w:eastAsia="Times New Roman" w:cs="Times New Roman"/>
          <w:snapToGrid w:val="0"/>
          <w:szCs w:val="20"/>
        </w:rPr>
        <w:tab/>
        <w:t>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(C)(1)</w:t>
      </w:r>
      <w:r>
        <w:rPr>
          <w:rFonts w:eastAsia="Times New Roman" w:cs="Times New Roman"/>
          <w:snapToGrid w:val="0"/>
          <w:szCs w:val="20"/>
        </w:rPr>
        <w:tab/>
        <w:t>The register must include for each expenditure: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(a)</w:t>
      </w:r>
      <w:r>
        <w:rPr>
          <w:rFonts w:eastAsia="Times New Roman" w:cs="Times New Roman"/>
          <w:snapToGrid w:val="0"/>
          <w:szCs w:val="20"/>
        </w:rPr>
        <w:tab/>
        <w:t>the transaction amount;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(b)</w:t>
      </w:r>
      <w:r>
        <w:rPr>
          <w:rFonts w:eastAsia="Times New Roman" w:cs="Times New Roman"/>
          <w:snapToGrid w:val="0"/>
          <w:szCs w:val="20"/>
        </w:rPr>
        <w:tab/>
        <w:t>the name of the payee;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(c)</w:t>
      </w:r>
      <w:r>
        <w:rPr>
          <w:rFonts w:eastAsia="Times New Roman" w:cs="Times New Roman"/>
          <w:snapToGrid w:val="0"/>
          <w:szCs w:val="20"/>
        </w:rPr>
        <w:tab/>
        <w:t>a statement providing a detailed description of the expenditure.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The register must not include an entry for salary, wages, or other compensation paid to individual employees.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The register must not include any information that can be used to identify an individual employee.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(4)</w:t>
      </w:r>
      <w:r>
        <w:rPr>
          <w:rFonts w:eastAsia="Times New Roman" w:cs="Times New Roman"/>
          <w:snapToGrid w:val="0"/>
          <w:szCs w:val="20"/>
        </w:rPr>
        <w:tab/>
        <w:t>The register must be accompanied by a complete explanation of any codes or acronyms used to identify a payee or an expenditure.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(D)</w:t>
      </w:r>
      <w:r>
        <w:rPr>
          <w:rFonts w:eastAsia="Times New Roman" w:cs="Times New Roman"/>
          <w:snapToGrid w:val="0"/>
          <w:szCs w:val="20"/>
        </w:rPr>
        <w:tab/>
        <w:t>The register must be searchable and updated at least once a month.  Each monthly register must be maintained on the Internet website for at least five years.”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Review and oversight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7.</w:t>
      </w:r>
      <w:r>
        <w:rPr>
          <w:rFonts w:eastAsia="Times New Roman" w:cs="Times New Roman"/>
          <w:snapToGrid w:val="0"/>
          <w:szCs w:val="20"/>
        </w:rPr>
        <w:tab/>
        <w:t>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“Article 13</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 xml:space="preserve">The Review and Oversight Commission on the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Pr>
          <w:rFonts w:eastAsia="Times New Roman" w:cs="Times New Roman"/>
          <w:snapToGrid w:val="0"/>
          <w:szCs w:val="20"/>
        </w:rPr>
        <w:t>South Carolina State Ports Authority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1300.</w:t>
      </w:r>
      <w:r>
        <w:rPr>
          <w:rFonts w:eastAsia="Times New Roman" w:cs="Times New Roman"/>
          <w:snapToGrid w:val="0"/>
          <w:szCs w:val="20"/>
        </w:rPr>
        <w:tab/>
        <w:t xml:space="preserve"> (A)</w:t>
      </w:r>
      <w:r>
        <w:rPr>
          <w:rFonts w:eastAsia="Times New Roman" w:cs="Times New Roman"/>
          <w:snapToGrid w:val="0"/>
          <w:szCs w:val="20"/>
        </w:rPr>
        <w:tab/>
      </w:r>
      <w:r>
        <w:rPr>
          <w:rFonts w:eastAsia="Times New Roman" w:cs="Times New Roman"/>
          <w:szCs w:val="24"/>
        </w:rPr>
        <w:t xml:space="preserve">There is hereby established a commission to be known as the </w:t>
      </w:r>
      <w:r>
        <w:rPr>
          <w:rFonts w:eastAsia="Times New Roman" w:cs="Times New Roman"/>
          <w:snapToGrid w:val="0"/>
          <w:szCs w:val="20"/>
        </w:rPr>
        <w:t>Review and Oversight Commission on the South Carolina State Ports Authority</w:t>
      </w:r>
      <w:r>
        <w:rPr>
          <w:rFonts w:eastAsia="Times New Roman" w:cs="Times New Roman"/>
          <w:szCs w:val="24"/>
        </w:rPr>
        <w:t>, hereinafter referred to as the commission, which must exercise the powers and fulfill the duties described in this article.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(B)</w:t>
      </w:r>
      <w:r>
        <w:rPr>
          <w:rFonts w:eastAsia="Times New Roman" w:cs="Times New Roman"/>
          <w:szCs w:val="24"/>
        </w:rPr>
        <w:tab/>
        <w:t xml:space="preserve">The commission is composed of the following ten members: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from the Senate: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(a)</w:t>
      </w:r>
      <w:r>
        <w:rPr>
          <w:rFonts w:eastAsia="Times New Roman" w:cs="Times New Roman"/>
          <w:szCs w:val="24"/>
        </w:rPr>
        <w:tab/>
        <w:t xml:space="preserve">the Chairman of the Finance Committee or his designee;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(b)</w:t>
      </w:r>
      <w:r>
        <w:rPr>
          <w:rFonts w:eastAsia="Times New Roman" w:cs="Times New Roman"/>
          <w:szCs w:val="24"/>
        </w:rPr>
        <w:tab/>
        <w:t xml:space="preserve">the Chairman of the Judiciary Committee or his designee;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(c)</w:t>
      </w:r>
      <w:r>
        <w:rPr>
          <w:rFonts w:eastAsia="Times New Roman" w:cs="Times New Roman"/>
          <w:szCs w:val="24"/>
        </w:rPr>
        <w:tab/>
        <w:t xml:space="preserve">the Chairman of the Transportation Committee or his designee; and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(d)</w:t>
      </w:r>
      <w:r>
        <w:rPr>
          <w:rFonts w:eastAsia="Times New Roman" w:cs="Times New Roman"/>
          <w:szCs w:val="24"/>
        </w:rPr>
        <w:tab/>
        <w:t xml:space="preserve">two members appointed by the President Pro Tempore, one member upon the recommendation of the Senate Majority Leader and one member upon the recommendation of the Senate Minority Leader;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from the House of Representatives: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(a)</w:t>
      </w:r>
      <w:r>
        <w:rPr>
          <w:rFonts w:eastAsia="Times New Roman" w:cs="Times New Roman"/>
          <w:szCs w:val="24"/>
        </w:rPr>
        <w:tab/>
        <w:t xml:space="preserve">the Chairman of the Ways and Means Committee or his designee;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(b)</w:t>
      </w:r>
      <w:r>
        <w:rPr>
          <w:rFonts w:eastAsia="Times New Roman" w:cs="Times New Roman"/>
          <w:szCs w:val="24"/>
        </w:rPr>
        <w:tab/>
        <w:t xml:space="preserve">the Chairman of the Judiciary Committee or his designee;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(c)</w:t>
      </w:r>
      <w:r>
        <w:rPr>
          <w:rFonts w:eastAsia="Times New Roman" w:cs="Times New Roman"/>
          <w:szCs w:val="24"/>
        </w:rPr>
        <w:tab/>
        <w:t>the Chairman of the Labor, Commerce and Industry Committee, or his designee;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(d)</w:t>
      </w:r>
      <w:r>
        <w:rPr>
          <w:rFonts w:eastAsia="Times New Roman" w:cs="Times New Roman"/>
          <w:szCs w:val="24"/>
        </w:rPr>
        <w:tab/>
        <w:t xml:space="preserve">two members of the House of Representatives appointed by the Speaker of the House of Representatives.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(C)</w:t>
      </w:r>
      <w:r>
        <w:rPr>
          <w:rFonts w:eastAsia="Times New Roman" w:cs="Times New Roman"/>
          <w:szCs w:val="24"/>
        </w:rPr>
        <w:tab/>
        <w:t xml:space="preserve">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(D)</w:t>
      </w:r>
      <w:r>
        <w:rPr>
          <w:rFonts w:eastAsia="Times New Roman" w:cs="Times New Roman"/>
          <w:szCs w:val="24"/>
        </w:rPr>
        <w:tab/>
        <w:t xml:space="preserve">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Section 54</w:t>
      </w:r>
      <w:r>
        <w:rPr>
          <w:rFonts w:eastAsia="Times New Roman" w:cs="Times New Roman"/>
          <w:szCs w:val="24"/>
        </w:rPr>
        <w:noBreakHyphen/>
        <w:t>3</w:t>
      </w:r>
      <w:r>
        <w:rPr>
          <w:rFonts w:eastAsia="Times New Roman" w:cs="Times New Roman"/>
          <w:szCs w:val="24"/>
        </w:rPr>
        <w:noBreakHyphen/>
        <w:t>1310.</w:t>
      </w:r>
      <w:r>
        <w:rPr>
          <w:rFonts w:eastAsia="Times New Roman" w:cs="Times New Roman"/>
          <w:szCs w:val="24"/>
        </w:rPr>
        <w:tab/>
        <w:t xml:space="preserve">The commission has the following powers and duties: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(A)</w:t>
      </w:r>
      <w:r>
        <w:rPr>
          <w:rFonts w:eastAsia="Times New Roman" w:cs="Times New Roman"/>
          <w:szCs w:val="24"/>
        </w:rPr>
        <w:tab/>
        <w:t xml:space="preserve">To screen each person appointed to serve on the board: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in screening candidates and making its findings, the commission must give due consideration to: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(a)</w:t>
      </w:r>
      <w:r>
        <w:rPr>
          <w:rFonts w:eastAsia="Times New Roman" w:cs="Times New Roman"/>
          <w:szCs w:val="24"/>
        </w:rPr>
        <w:tab/>
        <w:t xml:space="preserve">ability, area of expertise, dedication, compassion, common sense, and integrity of each candidate; and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t>(b)</w:t>
      </w:r>
      <w:r>
        <w:rPr>
          <w:rFonts w:eastAsia="Times New Roman" w:cs="Times New Roman"/>
          <w:szCs w:val="24"/>
        </w:rPr>
        <w:tab/>
        <w:t xml:space="preserve">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to determine if each candidate is qualified and meets the requirements provided by law to serve as a member of the Board of Directors of the State Ports Authority, make findings concerning whether each candidate is qualified, and deliver its findings to the Clerk of the Senate, the Clerk of the House of Representatives, and the Senate Transportation Committee for confirmation.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(B)</w:t>
      </w:r>
      <w:r>
        <w:rPr>
          <w:rFonts w:eastAsia="Times New Roman" w:cs="Times New Roman"/>
          <w:szCs w:val="24"/>
        </w:rPr>
        <w:tab/>
        <w:t xml:space="preserve">To </w:t>
      </w:r>
      <w:r>
        <w:rPr>
          <w:rFonts w:eastAsia="Times New Roman" w:cs="Times New Roman"/>
          <w:snapToGrid w:val="0"/>
          <w:szCs w:val="20"/>
        </w:rPr>
        <w:t>conduct an oversight review of the authority and its operations at least once every two years: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zCs w:val="24"/>
        </w:rPr>
        <w:tab/>
      </w:r>
      <w:r>
        <w:rPr>
          <w:rFonts w:eastAsia="Times New Roman" w:cs="Times New Roman"/>
          <w:szCs w:val="24"/>
        </w:rPr>
        <w:tab/>
      </w:r>
      <w:r>
        <w:rPr>
          <w:rFonts w:eastAsia="Times New Roman" w:cs="Times New Roman"/>
          <w:snapToGrid w:val="0"/>
          <w:szCs w:val="20"/>
        </w:rPr>
        <w:t>(1)</w:t>
      </w:r>
      <w:r>
        <w:rPr>
          <w:rFonts w:eastAsia="Times New Roman" w:cs="Times New Roman"/>
          <w:snapToGrid w:val="0"/>
          <w:szCs w:val="20"/>
        </w:rPr>
        <w:tab/>
        <w:t>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Pr>
          <w:rFonts w:eastAsia="Times New Roman" w:cs="Times New Roman"/>
          <w:snapToGrid w:val="0"/>
          <w:szCs w:val="20"/>
        </w:rPr>
        <w:noBreakHyphen/>
        <w:t>3</w:t>
      </w:r>
      <w:r>
        <w:rPr>
          <w:rFonts w:eastAsia="Times New Roman" w:cs="Times New Roman"/>
          <w:snapToGrid w:val="0"/>
          <w:szCs w:val="20"/>
        </w:rPr>
        <w:noBreakHyphen/>
        <w:t>70 in addition to other information collected concerning the executive director’s performance;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(a)</w:t>
      </w:r>
      <w:r>
        <w:rPr>
          <w:rFonts w:eastAsia="Times New Roman" w:cs="Times New Roman"/>
          <w:snapToGrid w:val="0"/>
          <w:szCs w:val="20"/>
        </w:rPr>
        <w:tab/>
        <w:t xml:space="preserve">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r>
      <w:r>
        <w:rPr>
          <w:rFonts w:eastAsia="Times New Roman" w:cs="Times New Roman"/>
          <w:snapToGrid w:val="0"/>
          <w:szCs w:val="20"/>
        </w:rPr>
        <w:tab/>
        <w:t>(b)</w:t>
      </w:r>
      <w:r>
        <w:rPr>
          <w:rFonts w:eastAsia="Times New Roman" w:cs="Times New Roman"/>
          <w:snapToGrid w:val="0"/>
          <w:szCs w:val="20"/>
        </w:rPr>
        <w:tab/>
        <w:t>the final performance review of a board member must be made a part of the member’s record for consideration if the member seeks reappointment to the board;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a written report of the findings from each oversight review must be published in the journals of both houses and made available on the General Assembly’s Internet website and transmitted to the Governor and the board.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napToGrid w:val="0"/>
          <w:szCs w:val="20"/>
        </w:rPr>
        <w:tab/>
        <w:t>(C)</w:t>
      </w:r>
      <w:r>
        <w:rPr>
          <w:rFonts w:eastAsia="Times New Roman" w:cs="Times New Roman"/>
          <w:snapToGrid w:val="0"/>
          <w:szCs w:val="20"/>
        </w:rPr>
        <w:tab/>
        <w:t xml:space="preserve">To review and evaluate the </w:t>
      </w:r>
      <w:r>
        <w:rPr>
          <w:rFonts w:eastAsia="Times New Roman" w:cs="Times New Roman"/>
          <w:szCs w:val="20"/>
        </w:rPr>
        <w:t>complete list of the properties on Daniel and Thomas (St. Thomas) Islands transmitted to the commission.  The commission must recommend to the State Budget and Control Board whether to approve the sale or sell, as appropriate, any or all of the real property the authority owns on Daniel Island and Thomas (St. Thomas) Island pursuant to Section 54</w:t>
      </w:r>
      <w:r>
        <w:rPr>
          <w:rFonts w:eastAsia="Times New Roman" w:cs="Times New Roman"/>
          <w:szCs w:val="20"/>
        </w:rPr>
        <w:noBreakHyphen/>
        <w:t>3</w:t>
      </w:r>
      <w:r>
        <w:rPr>
          <w:rFonts w:eastAsia="Times New Roman" w:cs="Times New Roman"/>
          <w:szCs w:val="20"/>
        </w:rPr>
        <w:noBreakHyphen/>
        <w:t>119.</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(D)</w:t>
      </w:r>
      <w:r>
        <w:rPr>
          <w:rFonts w:eastAsia="Times New Roman" w:cs="Times New Roman"/>
          <w:snapToGrid w:val="0"/>
          <w:szCs w:val="20"/>
        </w:rPr>
        <w:tab/>
        <w:t>Undertake any additional reviews, studies, or evaluations as it considers necessary.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zCs w:val="24"/>
        </w:rPr>
        <w:tab/>
        <w:t>Section 54</w:t>
      </w:r>
      <w:r>
        <w:rPr>
          <w:rFonts w:eastAsia="Times New Roman" w:cs="Times New Roman"/>
          <w:szCs w:val="24"/>
        </w:rPr>
        <w:noBreakHyphen/>
        <w:t>3</w:t>
      </w:r>
      <w:r>
        <w:rPr>
          <w:rFonts w:eastAsia="Times New Roman" w:cs="Times New Roman"/>
          <w:szCs w:val="24"/>
        </w:rPr>
        <w:noBreakHyphen/>
        <w:t>1320.</w:t>
      </w:r>
      <w:r>
        <w:rPr>
          <w:rFonts w:eastAsia="Times New Roman" w:cs="Times New Roman"/>
          <w:szCs w:val="24"/>
        </w:rPr>
        <w:tab/>
        <w:t xml:space="preserve"> </w:t>
      </w:r>
      <w:r>
        <w:rPr>
          <w:rFonts w:eastAsia="Times New Roman" w:cs="Times New Roman"/>
          <w:snapToGrid w:val="0"/>
          <w:szCs w:val="20"/>
        </w:rPr>
        <w:t>The commission by a two</w:t>
      </w:r>
      <w:r>
        <w:rPr>
          <w:rFonts w:eastAsia="Times New Roman" w:cs="Times New Roman"/>
          <w:snapToGrid w:val="0"/>
          <w:szCs w:val="20"/>
        </w:rPr>
        <w:noBreakHyphen/>
        <w:t>thirds vote of its membership, may waive the requirements of Section 54</w:t>
      </w:r>
      <w:r>
        <w:rPr>
          <w:rFonts w:eastAsia="Times New Roman" w:cs="Times New Roman"/>
          <w:snapToGrid w:val="0"/>
          <w:szCs w:val="20"/>
        </w:rPr>
        <w:noBreakHyphen/>
        <w:t>3</w:t>
      </w:r>
      <w:r>
        <w:rPr>
          <w:rFonts w:eastAsia="Times New Roman" w:cs="Times New Roman"/>
          <w:snapToGrid w:val="0"/>
          <w:szCs w:val="20"/>
        </w:rPr>
        <w:noBreakHyphen/>
        <w:t>60(A) and (B) for a candidate for the Board of Directors of the State Ports Authority.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54</w:t>
      </w:r>
      <w:r>
        <w:rPr>
          <w:rFonts w:cs="Times New Roman"/>
        </w:rPr>
        <w:noBreakHyphen/>
        <w:t>3</w:t>
      </w:r>
      <w:r>
        <w:rPr>
          <w:rFonts w:cs="Times New Roman"/>
        </w:rPr>
        <w:noBreakHyphen/>
        <w:t>1330.</w:t>
      </w:r>
      <w:r>
        <w:rPr>
          <w:rFonts w:cs="Times New Roman"/>
        </w:rPr>
        <w:tab/>
      </w:r>
      <w:r>
        <w:rPr>
          <w:rFonts w:cs="Times New Roman"/>
        </w:rPr>
        <w:tab/>
        <w:t>State agencies must fully cooperate with requests from the commission for assistance in carrying out its responsibilities and duties as established in this article.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1340.</w:t>
      </w:r>
      <w:r>
        <w:rPr>
          <w:rFonts w:eastAsia="Times New Roman" w:cs="Times New Roman"/>
          <w:snapToGrid w:val="0"/>
          <w:szCs w:val="20"/>
        </w:rPr>
        <w:tab/>
        <w:t>(A)</w:t>
      </w:r>
      <w:r>
        <w:rPr>
          <w:rFonts w:eastAsia="Times New Roman" w:cs="Times New Roman"/>
          <w:snapToGrid w:val="0"/>
          <w:szCs w:val="20"/>
        </w:rPr>
        <w:tab/>
        <w:t>The oversight report required by this article must at least contain: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a performance review of each member of the board during the previous two years;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a performance review of the State Ports Authority executive director;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an evaluation of the actions of the board, sufficient to allow the members of the General Assembly to better judge whether these actions serve the best interests of the citizens of South Carolina, both individual and corporate.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(B)</w:t>
      </w:r>
      <w:r>
        <w:rPr>
          <w:rFonts w:eastAsia="Times New Roman" w:cs="Times New Roman"/>
          <w:snapToGrid w:val="0"/>
          <w:szCs w:val="20"/>
        </w:rPr>
        <w:tab/>
        <w:t xml:space="preserve">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 </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(1)</w:t>
      </w:r>
      <w:r>
        <w:rPr>
          <w:rFonts w:eastAsia="Times New Roman" w:cs="Times New Roman"/>
          <w:snapToGrid w:val="0"/>
          <w:szCs w:val="20"/>
        </w:rPr>
        <w:tab/>
        <w:t>knowledge and application of substantive port issues;</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(2)</w:t>
      </w:r>
      <w:r>
        <w:rPr>
          <w:rFonts w:eastAsia="Times New Roman" w:cs="Times New Roman"/>
          <w:snapToGrid w:val="0"/>
          <w:szCs w:val="20"/>
        </w:rPr>
        <w:tab/>
        <w:t xml:space="preserve">the ability to perceive relevant issues;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(3)</w:t>
      </w:r>
      <w:r>
        <w:rPr>
          <w:rFonts w:eastAsia="Times New Roman" w:cs="Times New Roman"/>
          <w:snapToGrid w:val="0"/>
          <w:szCs w:val="20"/>
        </w:rPr>
        <w:tab/>
        <w:t xml:space="preserve">absence of influence by political considerations;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(4)</w:t>
      </w:r>
      <w:r>
        <w:rPr>
          <w:rFonts w:eastAsia="Times New Roman" w:cs="Times New Roman"/>
          <w:snapToGrid w:val="0"/>
          <w:szCs w:val="20"/>
        </w:rPr>
        <w:tab/>
        <w:t xml:space="preserve">absence of influence by identities of labor unions;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(5)</w:t>
      </w:r>
      <w:r>
        <w:rPr>
          <w:rFonts w:eastAsia="Times New Roman" w:cs="Times New Roman"/>
          <w:snapToGrid w:val="0"/>
          <w:szCs w:val="20"/>
        </w:rPr>
        <w:tab/>
        <w:t xml:space="preserve">courtesy to all persons appearing before the board;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(6)</w:t>
      </w:r>
      <w:r>
        <w:rPr>
          <w:rFonts w:eastAsia="Times New Roman" w:cs="Times New Roman"/>
          <w:snapToGrid w:val="0"/>
          <w:szCs w:val="20"/>
        </w:rPr>
        <w:tab/>
        <w:t>temperament and demeanor in general, preparation for hearings, and attentiveness during hearings;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(7)</w:t>
      </w:r>
      <w:r>
        <w:rPr>
          <w:rFonts w:eastAsia="Times New Roman" w:cs="Times New Roman"/>
          <w:snapToGrid w:val="0"/>
          <w:szCs w:val="20"/>
        </w:rPr>
        <w:tab/>
        <w:t>any other issue the commission deems appropriate.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Section 54</w:t>
      </w:r>
      <w:r>
        <w:rPr>
          <w:rFonts w:eastAsia="Times New Roman" w:cs="Times New Roman"/>
          <w:szCs w:val="20"/>
        </w:rPr>
        <w:noBreakHyphen/>
        <w:t>3</w:t>
      </w:r>
      <w:r>
        <w:rPr>
          <w:rFonts w:eastAsia="Times New Roman" w:cs="Times New Roman"/>
          <w:szCs w:val="20"/>
        </w:rPr>
        <w:noBreakHyphen/>
        <w:t>1350.</w:t>
      </w:r>
      <w:r>
        <w:rPr>
          <w:rFonts w:eastAsia="Times New Roman" w:cs="Times New Roman"/>
          <w:szCs w:val="20"/>
        </w:rPr>
        <w:tab/>
      </w:r>
      <w:r>
        <w:rPr>
          <w:rFonts w:eastAsia="Times New Roman" w:cs="Times New Roman"/>
          <w:szCs w:val="20"/>
        </w:rPr>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0"/>
        </w:rPr>
        <w:tab/>
        <w:t>Section 54</w:t>
      </w:r>
      <w:r>
        <w:rPr>
          <w:rFonts w:eastAsia="Times New Roman" w:cs="Times New Roman"/>
          <w:szCs w:val="20"/>
        </w:rPr>
        <w:noBreakHyphen/>
        <w:t>3</w:t>
      </w:r>
      <w:r>
        <w:rPr>
          <w:rFonts w:eastAsia="Times New Roman" w:cs="Times New Roman"/>
          <w:szCs w:val="20"/>
        </w:rPr>
        <w:noBreakHyphen/>
        <w:t>1360.</w:t>
      </w:r>
      <w:r>
        <w:rPr>
          <w:rFonts w:eastAsia="Times New Roman" w:cs="Times New Roman"/>
          <w:szCs w:val="20"/>
        </w:rPr>
        <w:tab/>
      </w:r>
      <w:r>
        <w:rPr>
          <w:rFonts w:eastAsia="Times New Roman" w:cs="Times New Roman"/>
          <w:szCs w:val="24"/>
        </w:rPr>
        <w:t>(A)</w:t>
      </w:r>
      <w:r>
        <w:rPr>
          <w:rFonts w:eastAsia="Times New Roman" w:cs="Times New Roman"/>
          <w:szCs w:val="24"/>
        </w:rPr>
        <w:tab/>
        <w:t xml:space="preserve">Commission members are entitled to such mileage, subsistence, and per diem as authorized by law for members of boards, committees, and commissions while in the performance of the duties for which appointed.  These expenses shall be paid by the State Ports Authority.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(B)</w:t>
      </w:r>
      <w:r>
        <w:rPr>
          <w:rFonts w:eastAsia="Times New Roman" w:cs="Times New Roman"/>
          <w:szCs w:val="24"/>
        </w:rPr>
        <w:tab/>
        <w:t>The State Ports Authority must pay for all reasonable expenses associated with the commission’s duties to screen appointees to the authority’s board and conduct oversight as required by this article.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1370.</w:t>
      </w:r>
      <w:r>
        <w:rPr>
          <w:rFonts w:eastAsia="Times New Roman" w:cs="Times New Roman"/>
          <w:snapToGrid w:val="0"/>
          <w:szCs w:val="20"/>
        </w:rPr>
        <w:tab/>
      </w:r>
      <w:r>
        <w:rPr>
          <w:rFonts w:eastAsia="Times New Roman" w:cs="Times New Roman"/>
          <w:szCs w:val="24"/>
        </w:rPr>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staff-related expenses associated with the commission’s activities.”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Sale prohibited</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8.</w:t>
      </w:r>
      <w:r>
        <w:rPr>
          <w:rFonts w:eastAsia="Times New Roman" w:cs="Times New Roman"/>
          <w:snapToGrid w:val="0"/>
          <w:szCs w:val="20"/>
        </w:rPr>
        <w:tab/>
        <w:t>Article 3, 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155.</w:t>
      </w:r>
      <w:r>
        <w:rPr>
          <w:rFonts w:eastAsia="Times New Roman" w:cs="Times New Roman"/>
          <w:snapToGrid w:val="0"/>
          <w:szCs w:val="20"/>
        </w:rPr>
        <w:tab/>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as provided in Section 54</w:t>
      </w:r>
      <w:r>
        <w:rPr>
          <w:rFonts w:eastAsia="Times New Roman" w:cs="Times New Roman"/>
          <w:snapToGrid w:val="0"/>
          <w:szCs w:val="20"/>
        </w:rPr>
        <w:noBreakHyphen/>
        <w:t>3</w:t>
      </w:r>
      <w:r>
        <w:rPr>
          <w:rFonts w:eastAsia="Times New Roman" w:cs="Times New Roman"/>
          <w:snapToGrid w:val="0"/>
          <w:szCs w:val="20"/>
        </w:rPr>
        <w:noBreakHyphen/>
        <w:t>130.”</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Port references changed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9.</w:t>
      </w: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110 of the 1976 Code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110.</w:t>
      </w:r>
      <w:r>
        <w:rPr>
          <w:rFonts w:eastAsia="Times New Roman" w:cs="Times New Roman"/>
          <w:snapToGrid w:val="0"/>
          <w:szCs w:val="20"/>
        </w:rPr>
        <w:tab/>
        <w:t>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kinds of terminal facilities, and belt line roads or highways and bridges thereon and other bridges and causeways necessary or useful in connection therewith.”</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themeColor="text1"/>
        </w:rPr>
      </w:pPr>
      <w:r>
        <w:rPr>
          <w:rFonts w:eastAsia="Times New Roman" w:cs="Times New Roman"/>
          <w:b/>
          <w:szCs w:val="20"/>
          <w:u w:color="000000" w:themeColor="text1"/>
        </w:rPr>
        <w:t xml:space="preserve">Port references changed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Times New Roman" w:cs="Times New Roman"/>
          <w:szCs w:val="20"/>
          <w:u w:color="000000" w:themeColor="text1"/>
        </w:rPr>
        <w:t>SECTION</w:t>
      </w:r>
      <w:r>
        <w:rPr>
          <w:rFonts w:eastAsia="Times New Roman" w:cs="Times New Roman"/>
          <w:szCs w:val="20"/>
          <w:u w:color="000000" w:themeColor="text1"/>
        </w:rPr>
        <w:tab/>
        <w:t>10.</w:t>
      </w:r>
      <w:r>
        <w:rPr>
          <w:rFonts w:eastAsia="Times New Roman" w:cs="Times New Roman"/>
          <w:szCs w:val="20"/>
          <w:u w:color="000000" w:themeColor="text1"/>
        </w:rPr>
        <w:tab/>
        <w:t>Section 54</w:t>
      </w:r>
      <w:r>
        <w:rPr>
          <w:rFonts w:eastAsia="Times New Roman" w:cs="Times New Roman"/>
          <w:szCs w:val="20"/>
          <w:u w:color="000000" w:themeColor="text1"/>
        </w:rPr>
        <w:noBreakHyphen/>
        <w:t>3</w:t>
      </w:r>
      <w:r>
        <w:rPr>
          <w:rFonts w:eastAsia="Times New Roman" w:cs="Times New Roman"/>
          <w:szCs w:val="20"/>
          <w:u w:color="000000" w:themeColor="text1"/>
        </w:rPr>
        <w:noBreakHyphen/>
        <w:t>130(1) of the 1976 Code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u w:color="000000" w:themeColor="text1"/>
        </w:rPr>
        <w:tab/>
        <w:t>“(1)</w:t>
      </w:r>
      <w:r>
        <w:rPr>
          <w:rFonts w:eastAsia="Times New Roman" w:cs="Times New Roman"/>
          <w:szCs w:val="20"/>
          <w:u w:color="000000" w:themeColor="text1"/>
        </w:rPr>
        <w:tab/>
      </w:r>
      <w:r>
        <w:rPr>
          <w:rFonts w:cs="Times New Roman"/>
        </w:rPr>
        <w:t>To develop and improve the harbors or seaports of Charleston, Georgetown, and Jasper for the handling of water</w:t>
      </w:r>
      <w:r>
        <w:rPr>
          <w:rFonts w:cs="Times New Roman"/>
        </w:rPr>
        <w:noBreakHyphen/>
        <w:t>borne commerce from and to any part of the State and other states and foreign countries;”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Port references changed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cs="Times New Roman"/>
        </w:rPr>
        <w:t>SECTION</w:t>
      </w:r>
      <w:r>
        <w:rPr>
          <w:rFonts w:cs="Times New Roman"/>
        </w:rPr>
        <w:tab/>
        <w:t>11.</w:t>
      </w:r>
      <w:r>
        <w:rPr>
          <w:rFonts w:cs="Times New Roman"/>
        </w:rPr>
        <w:tab/>
      </w:r>
      <w:r>
        <w:rPr>
          <w:rFonts w:eastAsia="Times New Roman" w:cs="Times New Roman"/>
          <w:szCs w:val="20"/>
          <w:u w:color="000000" w:themeColor="text1"/>
        </w:rPr>
        <w:t>Section 54</w:t>
      </w:r>
      <w:r>
        <w:rPr>
          <w:rFonts w:eastAsia="Times New Roman" w:cs="Times New Roman"/>
          <w:szCs w:val="20"/>
          <w:u w:color="000000" w:themeColor="text1"/>
        </w:rPr>
        <w:noBreakHyphen/>
        <w:t>3</w:t>
      </w:r>
      <w:r>
        <w:rPr>
          <w:rFonts w:eastAsia="Times New Roman" w:cs="Times New Roman"/>
          <w:szCs w:val="20"/>
          <w:u w:color="000000" w:themeColor="text1"/>
        </w:rPr>
        <w:noBreakHyphen/>
        <w:t>130(8) of the 1976 Code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zCs w:val="20"/>
          <w:u w:color="000000" w:themeColor="text1"/>
        </w:rPr>
        <w:tab/>
        <w:t>“</w:t>
      </w:r>
      <w:r>
        <w:rPr>
          <w:rFonts w:cs="Times New Roman"/>
        </w:rPr>
        <w:t>(8)</w:t>
      </w:r>
      <w:r>
        <w:rPr>
          <w:rFonts w:cs="Times New Roman"/>
        </w:rPr>
        <w:tab/>
        <w:t>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Port in Jasper County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12.</w:t>
      </w:r>
      <w:r>
        <w:rPr>
          <w:rFonts w:eastAsia="Times New Roman" w:cs="Times New Roman"/>
          <w:snapToGrid w:val="0"/>
          <w:szCs w:val="20"/>
        </w:rPr>
        <w:tab/>
        <w:t>Article 3, 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115.</w:t>
      </w:r>
      <w:r>
        <w:rPr>
          <w:rFonts w:eastAsia="Times New Roman" w:cs="Times New Roman"/>
          <w:snapToGrid w:val="0"/>
          <w:szCs w:val="20"/>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r>
        <w:rPr>
          <w:rFonts w:eastAsia="Times New Roman" w:cs="Times New Roman"/>
          <w:snapToGrid w:val="0"/>
          <w:szCs w:val="20"/>
        </w:rPr>
        <w:tab/>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North Charleston container terminal</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13.</w:t>
      </w:r>
      <w:r>
        <w:rPr>
          <w:rFonts w:cs="Times New Roman"/>
          <w:u w:color="000000" w:themeColor="text1"/>
        </w:rPr>
        <w:tab/>
        <w:t>Article 3, 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54</w:t>
      </w:r>
      <w:r>
        <w:rPr>
          <w:rFonts w:cs="Times New Roman"/>
          <w:u w:color="000000" w:themeColor="text1"/>
        </w:rPr>
        <w:noBreakHyphen/>
        <w:t>3</w:t>
      </w:r>
      <w:r>
        <w:rPr>
          <w:rFonts w:cs="Times New Roman"/>
          <w:u w:color="000000" w:themeColor="text1"/>
        </w:rPr>
        <w:noBreakHyphen/>
        <w:t>117.</w:t>
      </w:r>
      <w:r>
        <w:rPr>
          <w:rFonts w:cs="Times New Roman"/>
          <w:u w:color="000000" w:themeColor="text1"/>
        </w:rPr>
        <w:tab/>
        <w:t>The authority shall take all action necessary to expeditiously complete construction of a container terminal in North Charleston.”</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Public</w:t>
      </w:r>
      <w:r>
        <w:rPr>
          <w:rFonts w:cs="Times New Roman"/>
          <w:b/>
          <w:u w:color="000000" w:themeColor="text1"/>
        </w:rPr>
        <w:noBreakHyphen/>
        <w:t>private partnerships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cs="Times New Roman"/>
          <w:u w:color="000000" w:themeColor="text1"/>
        </w:rPr>
        <w:t>SECTION</w:t>
      </w:r>
      <w:r>
        <w:rPr>
          <w:rFonts w:cs="Times New Roman"/>
          <w:u w:color="000000" w:themeColor="text1"/>
        </w:rPr>
        <w:tab/>
        <w:t>14.</w:t>
      </w:r>
      <w:r>
        <w:rPr>
          <w:rFonts w:cs="Times New Roman"/>
          <w:u w:color="000000" w:themeColor="text1"/>
        </w:rPr>
        <w:tab/>
      </w:r>
      <w:r>
        <w:rPr>
          <w:rFonts w:eastAsia="Times New Roman" w:cs="Times New Roman"/>
          <w:snapToGrid w:val="0"/>
          <w:szCs w:val="20"/>
        </w:rPr>
        <w:t>Article 3, 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54</w:t>
      </w:r>
      <w:r>
        <w:rPr>
          <w:rFonts w:eastAsia="Times New Roman" w:cs="Times New Roman"/>
          <w:snapToGrid w:val="0"/>
          <w:szCs w:val="20"/>
        </w:rPr>
        <w:noBreakHyphen/>
        <w:t>3</w:t>
      </w:r>
      <w:r>
        <w:rPr>
          <w:rFonts w:eastAsia="Times New Roman" w:cs="Times New Roman"/>
          <w:snapToGrid w:val="0"/>
          <w:szCs w:val="20"/>
        </w:rPr>
        <w:noBreakHyphen/>
        <w:t>118.</w:t>
      </w:r>
      <w:r>
        <w:rPr>
          <w:rFonts w:eastAsia="Times New Roman" w:cs="Times New Roman"/>
          <w:snapToGrid w:val="0"/>
          <w:szCs w:val="20"/>
        </w:rPr>
        <w:tab/>
        <w:t xml:space="preserve"> It is the intent of the General Assembly that the State Ports Authority board consider public</w:t>
      </w:r>
      <w:r>
        <w:rPr>
          <w:rFonts w:eastAsia="Times New Roman" w:cs="Times New Roman"/>
          <w:snapToGrid w:val="0"/>
          <w:szCs w:val="20"/>
        </w:rPr>
        <w:noBreakHyphen/>
        <w:t>private partnerships with private investors that increase capital investments in port facilities and in the State of South Carolina.  However, the board retains all authority associated with entering a public</w:t>
      </w:r>
      <w:r>
        <w:rPr>
          <w:rFonts w:eastAsia="Times New Roman" w:cs="Times New Roman"/>
          <w:snapToGrid w:val="0"/>
          <w:szCs w:val="20"/>
        </w:rPr>
        <w:noBreakHyphen/>
        <w:t>private partnership on behalf of the port.”</w:t>
      </w:r>
      <w:r>
        <w:rPr>
          <w:rFonts w:eastAsia="Times New Roman" w:cs="Times New Roman"/>
          <w:snapToGrid w:val="0"/>
          <w:szCs w:val="20"/>
        </w:rPr>
        <w:tab/>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Transfer prohibited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15.</w:t>
      </w:r>
      <w:r>
        <w:rPr>
          <w:rFonts w:eastAsia="Times New Roman" w:cs="Times New Roman"/>
          <w:snapToGrid w:val="0"/>
          <w:szCs w:val="20"/>
        </w:rPr>
        <w:tab/>
        <w:t>Chapter 1, Title 13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“Section 13</w:t>
      </w:r>
      <w:r>
        <w:rPr>
          <w:rFonts w:eastAsia="Times New Roman" w:cs="Times New Roman"/>
          <w:snapToGrid w:val="0"/>
          <w:szCs w:val="20"/>
        </w:rPr>
        <w:noBreakHyphen/>
        <w:t>1</w:t>
      </w:r>
      <w:r>
        <w:rPr>
          <w:rFonts w:eastAsia="Times New Roman" w:cs="Times New Roman"/>
          <w:snapToGrid w:val="0"/>
          <w:szCs w:val="20"/>
        </w:rPr>
        <w:noBreakHyphen/>
        <w:t>1355.</w:t>
      </w:r>
      <w:r>
        <w:rPr>
          <w:rFonts w:eastAsia="Times New Roman" w:cs="Times New Roman"/>
          <w:snapToGrid w:val="0"/>
          <w:szCs w:val="20"/>
        </w:rPr>
        <w:tab/>
      </w:r>
      <w:r>
        <w:rPr>
          <w:rFonts w:eastAsia="Times New Roman" w:cs="Times New Roman"/>
          <w:snapToGrid w:val="0"/>
          <w:szCs w:val="20"/>
        </w:rPr>
        <w:tab/>
        <w:t>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Pr>
          <w:rFonts w:eastAsia="Times New Roman" w:cs="Times New Roman"/>
          <w:snapToGrid w:val="0"/>
          <w:szCs w:val="20"/>
        </w:rPr>
        <w:noBreakHyphen/>
        <w:t>6</w:t>
      </w:r>
      <w:r>
        <w:rPr>
          <w:rFonts w:eastAsia="Times New Roman" w:cs="Times New Roman"/>
          <w:snapToGrid w:val="0"/>
          <w:szCs w:val="20"/>
        </w:rPr>
        <w:noBreakHyphen/>
        <w:t>3450 may not be transferred without the prior approval of the State Budget and Control Board.”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Removal of officers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16.</w:t>
      </w:r>
      <w:r>
        <w:rPr>
          <w:rFonts w:eastAsia="Times New Roman" w:cs="Times New Roman"/>
          <w:szCs w:val="20"/>
        </w:rPr>
        <w:tab/>
        <w:t>Section 1</w:t>
      </w:r>
      <w:r>
        <w:rPr>
          <w:rFonts w:eastAsia="Times New Roman" w:cs="Times New Roman"/>
          <w:szCs w:val="20"/>
        </w:rPr>
        <w:noBreakHyphen/>
        <w:t>3</w:t>
      </w:r>
      <w:r>
        <w:rPr>
          <w:rFonts w:eastAsia="Times New Roman" w:cs="Times New Roman"/>
          <w:szCs w:val="20"/>
        </w:rPr>
        <w:noBreakHyphen/>
        <w:t>240(C)(1) of the 1976 Code, as last amended by Act 114 of 2007, is further amended by adding a new subitem at the end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zCs w:val="20"/>
        </w:rPr>
        <w:tab/>
        <w:t>“(n)</w:t>
      </w:r>
      <w:r>
        <w:rPr>
          <w:rFonts w:eastAsia="Times New Roman" w:cs="Times New Roman"/>
          <w:szCs w:val="20"/>
        </w:rPr>
        <w:tab/>
        <w:t>State Ports Authority.”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Port Royal cessation and sales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17.</w:t>
      </w:r>
      <w:r>
        <w:rPr>
          <w:rFonts w:eastAsia="Times New Roman" w:cs="Times New Roman"/>
          <w:szCs w:val="20"/>
        </w:rPr>
        <w:tab/>
        <w:t>Section 54</w:t>
      </w:r>
      <w:r>
        <w:rPr>
          <w:rFonts w:eastAsia="Times New Roman" w:cs="Times New Roman"/>
          <w:szCs w:val="20"/>
        </w:rPr>
        <w:noBreakHyphen/>
        <w:t>3</w:t>
      </w:r>
      <w:r>
        <w:rPr>
          <w:rFonts w:eastAsia="Times New Roman" w:cs="Times New Roman"/>
          <w:szCs w:val="20"/>
        </w:rPr>
        <w:noBreakHyphen/>
        <w:t>700 of the 1976 Code, as added by Act 313 of 2004, is amended to read: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ab/>
        <w:t>“Section 54</w:t>
      </w:r>
      <w:r>
        <w:rPr>
          <w:rFonts w:eastAsia="Times New Roman" w:cs="Times New Roman"/>
          <w:szCs w:val="20"/>
        </w:rPr>
        <w:noBreakHyphen/>
        <w:t>3</w:t>
      </w:r>
      <w:r>
        <w:rPr>
          <w:rFonts w:eastAsia="Times New Roman" w:cs="Times New Roman"/>
          <w:szCs w:val="20"/>
        </w:rPr>
        <w:noBreakHyphen/>
        <w:t>700.</w:t>
      </w:r>
      <w:r>
        <w:rPr>
          <w:rFonts w:eastAsia="Times New Roman" w:cs="Times New Roman"/>
          <w:szCs w:val="20"/>
        </w:rPr>
        <w:tab/>
      </w:r>
      <w:r>
        <w:rPr>
          <w:rFonts w:cs="Times New Roman"/>
          <w:u w:color="000000" w:themeColor="text1"/>
        </w:rPr>
        <w:t>(A)</w:t>
      </w:r>
      <w:r>
        <w:rPr>
          <w:rFonts w:cs="Times New Roman"/>
          <w:u w:color="000000" w:themeColor="text1"/>
        </w:rPr>
        <w:tab/>
        <w:t xml:space="preserve">Upon the effective date of this section: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 xml:space="preserve">the State Ports Authority has no statutory responsibility to operate a marine terminal at Port Royal; and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marine operations at Port Royal shall cease as soon as practicable.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The State Ports Authority is hereby directed to sell all its real and personal property at Port Royal upon the effective date of this section, but in a manner that is financially responsible and advantageous to the State Ports Authority.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rPr>
        <w:t>(1)</w:t>
      </w:r>
      <w:r>
        <w:rPr>
          <w:rFonts w:cs="Times New Roman"/>
          <w:u w:color="000000" w:themeColor="text1"/>
        </w:rPr>
        <w:tab/>
        <w:t>The State Ports Authority, in its discretion, shall determine the manner of the sale, but in no event shall terms of the sale extend beyond December 31, 2009, except for parcels under long</w:t>
      </w:r>
      <w:r>
        <w:rPr>
          <w:rFonts w:cs="Times New Roman"/>
          <w:u w:color="000000" w:themeColor="text1"/>
        </w:rPr>
        <w:noBreakHyphen/>
        <w:t>term contract, in which case the South Carolina Ports Authority is directed to terminate these leases as soon as possible through ‘lease purchases’, ‘buy outs’, or other lawful means.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cs="Times New Roman"/>
          <w:u w:color="000000" w:themeColor="text1"/>
        </w:rPr>
        <w:tab/>
      </w:r>
      <w:r>
        <w:rPr>
          <w:rFonts w:cs="Times New Roman"/>
          <w:u w:color="000000" w:themeColor="text1"/>
        </w:rPr>
        <w:tab/>
      </w:r>
      <w:r>
        <w:rPr>
          <w:rFonts w:cs="Times New Roman"/>
        </w:rPr>
        <w:t>(2)</w:t>
      </w:r>
      <w:r>
        <w:rPr>
          <w:rFonts w:cs="Times New Roman"/>
        </w:rPr>
        <w:tab/>
      </w:r>
      <w:r>
        <w:rPr>
          <w:rFonts w:eastAsia="Times New Roman" w:cs="Times New Roman"/>
          <w:szCs w:val="20"/>
        </w:rPr>
        <w:t>The property must be transferred to the State Budget and Control Board for sale if the authority is unable to complete the sale by December 31, 2009.  The State Budget and Control Board is vested with all of the board’s fiduciary duties to the authority and the authority’s bondholders if the property is transferred to the State Budget and Control Board for sale.  The acceptance of any sales price by the State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  The State Budget and Control Board may deduct from the proceeds of the sale an amount equal to the actual costs incurred in conjunction with the sale of the property.  The balance of the proceeds must be transmitted to the authority.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cs="Times New Roman"/>
          <w:u w:color="000000" w:themeColor="text1"/>
        </w:rPr>
        <w:tab/>
        <w:t>(D)</w:t>
      </w:r>
      <w:r>
        <w:rPr>
          <w:rFonts w:cs="Times New Roman"/>
          <w:u w:color="000000" w:themeColor="text1"/>
        </w:rPr>
        <w:tab/>
        <w:t>Any real or personal property at Port Royal which is to be sold must be first appraised and then sold at fair market value.  The real property appraiser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State Ports Authority Board of Directors shall exercise its lawful discretion in the acceptance of any sales price with due regard to its fiduciary duties to the authority and for the protection of the interests of the authority’s bondholders as set forth in its bond covenants, and otherwise according to law, including conversion of a nonperforming asset into revenue in the most expeditious manner.  The sale of the real property shall comply with all state procedures, must be approved by the State Budget and Control Board, and must be on an open</w:t>
      </w:r>
      <w:r>
        <w:rPr>
          <w:rFonts w:cs="Times New Roman"/>
          <w:u w:color="000000" w:themeColor="text1"/>
        </w:rPr>
        <w:noBreakHyphen/>
        <w:t xml:space="preserve">bid basis, and no bid may be accepted which is less than the property’s fair market value as shown by the appraisal.  All proceeds from the sale of real and personal property at Port Royal must be retained by the State Ports Authority; except that the Town of Port Royal may petition the State Budget and Control Board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solely for infrastructure, and shall have priority over all other expenditures except usual and necessary closing costs attributable to a sales </w:t>
      </w:r>
      <w:r>
        <w:rPr>
          <w:rFonts w:cs="Times New Roman"/>
        </w:rPr>
        <w:t>contract</w:t>
      </w:r>
      <w:r>
        <w:rPr>
          <w:rFonts w:cs="Times New Roman"/>
          <w:u w:color="000000" w:themeColor="text1"/>
        </w:rPr>
        <w:t>.</w:t>
      </w:r>
      <w:r>
        <w:rPr>
          <w:rFonts w:eastAsia="Times New Roman" w:cs="Times New Roman"/>
          <w:szCs w:val="20"/>
        </w:rPr>
        <w:t>”</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Sale of property directed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18.</w:t>
      </w:r>
      <w:r>
        <w:rPr>
          <w:rFonts w:eastAsia="Times New Roman" w:cs="Times New Roman"/>
          <w:szCs w:val="20"/>
        </w:rPr>
        <w:tab/>
        <w:t>Chapter 3, Title 54 of the 1976 Code is amended by adding: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“Section 54</w:t>
      </w:r>
      <w:r>
        <w:rPr>
          <w:rFonts w:eastAsia="Times New Roman" w:cs="Times New Roman"/>
          <w:szCs w:val="20"/>
        </w:rPr>
        <w:noBreakHyphen/>
        <w:t>3</w:t>
      </w:r>
      <w:r>
        <w:rPr>
          <w:rFonts w:eastAsia="Times New Roman" w:cs="Times New Roman"/>
          <w:szCs w:val="20"/>
        </w:rPr>
        <w:noBreakHyphen/>
        <w:t>119.</w:t>
      </w:r>
      <w:r>
        <w:rPr>
          <w:rFonts w:eastAsia="Times New Roman" w:cs="Times New Roman"/>
          <w:szCs w:val="20"/>
        </w:rPr>
        <w:tab/>
        <w:t>(A)</w:t>
      </w:r>
      <w:r>
        <w:rPr>
          <w:rFonts w:eastAsia="Times New Roman" w:cs="Times New Roman"/>
          <w:szCs w:val="20"/>
        </w:rPr>
        <w:tab/>
        <w:t xml:space="preserve">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Budget and Control Board for sale if authority is unable to complete the sale by December 31, 2013.  To assist in the sale of the property, the board shall have the property appraised by at least two independent qualified commercial appraisers not affiliated with the authority.  </w:t>
      </w:r>
      <w:r>
        <w:rPr>
          <w:rFonts w:cs="Times New Roman"/>
        </w:rPr>
        <w:t xml:space="preserve">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w:t>
      </w:r>
      <w:r>
        <w:rPr>
          <w:rFonts w:eastAsia="Times New Roman" w:cs="Times New Roman"/>
          <w:szCs w:val="20"/>
        </w:rPr>
        <w:t>The sale price must be equal to or greater than at least one of the independent appraisals.  The approval of the State Budget and Control Board is required to effectuate the sale if completed on or before December 31, 2013.</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(B)</w:t>
      </w:r>
      <w:r>
        <w:rPr>
          <w:rFonts w:eastAsia="Times New Roman" w:cs="Times New Roman"/>
          <w:szCs w:val="20"/>
        </w:rPr>
        <w:tab/>
        <w:t xml:space="preserve">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w:t>
      </w:r>
      <w:r>
        <w:rPr>
          <w:rFonts w:cs="Times New Roman"/>
        </w:rPr>
        <w:t>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(C)(1)</w:t>
      </w:r>
      <w:r>
        <w:rPr>
          <w:rFonts w:eastAsia="Times New Roman" w:cs="Times New Roman"/>
          <w:szCs w:val="20"/>
        </w:rPr>
        <w:tab/>
        <w:t>With regard to the sale of real property pursuant to subsection (A), the State Budget and Control Board is vested with all of the board’s fiduciary duties to the authority and the authority’s bondholders if the property is transferred to the State Budget and Control Board for sale.  The acceptance of any sales price by either the board or the State Budget and Control Board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(2)</w:t>
      </w:r>
      <w:r>
        <w:rPr>
          <w:rFonts w:eastAsia="Times New Roman" w:cs="Times New Roman"/>
          <w:szCs w:val="20"/>
        </w:rPr>
        <w:tab/>
        <w:t>The State Budget and Control Board may deduct from the proceeds of the sale an amount equal to the actual costs incurred in conjunction with the sale of the property.  The balance of the proceeds must be transmitted to the authority.”</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Boat landing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19.</w:t>
      </w:r>
      <w:r>
        <w:rPr>
          <w:rFonts w:eastAsia="Times New Roman" w:cs="Times New Roman"/>
          <w:snapToGrid w:val="0"/>
          <w:szCs w:val="20"/>
        </w:rPr>
        <w:tab/>
        <w:t xml:space="preserve">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w:t>
      </w:r>
      <w:r>
        <w:rPr>
          <w:rFonts w:eastAsia="Times New Roman" w:cs="Times New Roman"/>
          <w:szCs w:val="20"/>
        </w:rPr>
        <w:t>Section 54</w:t>
      </w:r>
      <w:r>
        <w:rPr>
          <w:rFonts w:eastAsia="Times New Roman" w:cs="Times New Roman"/>
          <w:szCs w:val="20"/>
        </w:rPr>
        <w:noBreakHyphen/>
        <w:t>3</w:t>
      </w:r>
      <w:r>
        <w:rPr>
          <w:rFonts w:eastAsia="Times New Roman" w:cs="Times New Roman"/>
          <w:szCs w:val="20"/>
        </w:rPr>
        <w:noBreakHyphen/>
        <w:t xml:space="preserve">700 </w:t>
      </w:r>
      <w:r>
        <w:rPr>
          <w:rFonts w:eastAsia="Times New Roman" w:cs="Times New Roman"/>
          <w:snapToGrid w:val="0"/>
          <w:szCs w:val="20"/>
        </w:rPr>
        <w:t>should be used to build the boat landing.</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Board members</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20.</w:t>
      </w:r>
      <w:r>
        <w:rPr>
          <w:rFonts w:eastAsia="Times New Roman" w:cs="Times New Roman"/>
          <w:snapToGrid w:val="0"/>
          <w:szCs w:val="20"/>
        </w:rPr>
        <w:tab/>
        <w:t>The provisions of this act related to a time limitation for members of the board of directors serving in a holdover capacity do not apply to board members serving in a holdover capacity as of the effective date of this act but apply to any subsequent term.</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Severability clause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cs="Times New Roman"/>
        </w:rPr>
        <w:t>SECTION</w:t>
      </w:r>
      <w:r>
        <w:rPr>
          <w:rFonts w:cs="Times New Roman"/>
        </w:rPr>
        <w:tab/>
        <w:t>21.</w:t>
      </w:r>
      <w:r>
        <w:rPr>
          <w:rFonts w:cs="Times New Roman"/>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Savings clause</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snapToGrid w:val="0"/>
          <w:szCs w:val="20"/>
        </w:rPr>
        <w:t>SECTION</w:t>
      </w:r>
      <w:r>
        <w:rPr>
          <w:rFonts w:eastAsia="Times New Roman" w:cs="Times New Roman"/>
          <w:snapToGrid w:val="0"/>
          <w:szCs w:val="20"/>
        </w:rPr>
        <w:tab/>
        <w:t>22.</w:t>
      </w:r>
      <w:r>
        <w:rPr>
          <w:rFonts w:eastAsia="Times New Roman" w:cs="Times New Roman"/>
          <w:snapToGrid w:val="0"/>
          <w:szCs w:val="20"/>
        </w:rPr>
        <w:tab/>
      </w:r>
      <w:r>
        <w:rPr>
          <w:rFonts w:cs="Times New Roman"/>
          <w:color w:val="000000" w:themeColor="text1"/>
        </w:rPr>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F71061" w:rsidRDefault="00F71061"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71061" w:rsidRDefault="00F71061" w:rsidP="00F710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23.</w:t>
      </w:r>
      <w:r>
        <w:rPr>
          <w:rFonts w:eastAsia="Times New Roman" w:cs="Times New Roman"/>
          <w:snapToGrid w:val="0"/>
          <w:szCs w:val="20"/>
        </w:rPr>
        <w:tab/>
        <w:t>This act takes effect upon approval by the Governor.</w:t>
      </w:r>
    </w:p>
    <w:p w:rsidR="00F71061" w:rsidRDefault="00F71061" w:rsidP="00F71061">
      <w:pPr>
        <w:keepNext/>
        <w:tabs>
          <w:tab w:val="left" w:pos="1440"/>
          <w:tab w:val="left" w:pos="1800"/>
          <w:tab w:val="left" w:pos="2880"/>
        </w:tabs>
        <w:rPr>
          <w:color w:val="000000" w:themeColor="text1"/>
        </w:rPr>
      </w:pPr>
    </w:p>
    <w:p w:rsidR="00F71061" w:rsidRDefault="00F71061" w:rsidP="00F71061">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F71061" w:rsidRDefault="00F71061" w:rsidP="00F71061">
      <w:pPr>
        <w:keepNext/>
        <w:tabs>
          <w:tab w:val="left" w:pos="1440"/>
          <w:tab w:val="left" w:pos="1800"/>
          <w:tab w:val="left" w:pos="2880"/>
        </w:tabs>
        <w:rPr>
          <w:color w:val="000000" w:themeColor="text1"/>
        </w:rPr>
      </w:pPr>
    </w:p>
    <w:p w:rsidR="00F71061" w:rsidRDefault="00F71061" w:rsidP="00F71061">
      <w:pPr>
        <w:keepNext/>
        <w:tabs>
          <w:tab w:val="left" w:pos="1440"/>
          <w:tab w:val="left" w:pos="1800"/>
          <w:tab w:val="left" w:pos="2880"/>
        </w:tabs>
        <w:rPr>
          <w:color w:val="000000" w:themeColor="text1"/>
        </w:rPr>
      </w:pPr>
      <w:r>
        <w:rPr>
          <w:color w:val="000000" w:themeColor="text1"/>
        </w:rPr>
        <w:t>Vetoed by the Governor -- 6/2/09.</w:t>
      </w:r>
    </w:p>
    <w:p w:rsidR="00F71061" w:rsidRDefault="00F71061" w:rsidP="00F71061">
      <w:pPr>
        <w:tabs>
          <w:tab w:val="left" w:pos="1440"/>
          <w:tab w:val="left" w:pos="1800"/>
          <w:tab w:val="left" w:pos="2880"/>
        </w:tabs>
        <w:rPr>
          <w:color w:val="000000" w:themeColor="text1"/>
        </w:rPr>
      </w:pPr>
      <w:r>
        <w:rPr>
          <w:color w:val="000000" w:themeColor="text1"/>
        </w:rPr>
        <w:t>Veto overridden by Senate -- 6/16/09.</w:t>
      </w:r>
    </w:p>
    <w:p w:rsidR="00F71061" w:rsidRDefault="00F71061" w:rsidP="00F71061">
      <w:pPr>
        <w:tabs>
          <w:tab w:val="left" w:pos="1440"/>
          <w:tab w:val="left" w:pos="1800"/>
          <w:tab w:val="left" w:pos="2880"/>
        </w:tabs>
        <w:rPr>
          <w:color w:val="000000" w:themeColor="text1"/>
        </w:rPr>
      </w:pPr>
      <w:r>
        <w:rPr>
          <w:color w:val="000000" w:themeColor="text1"/>
        </w:rPr>
        <w:t xml:space="preserve">Veto overridden by House -- 6/16/09. </w:t>
      </w:r>
    </w:p>
    <w:p w:rsidR="00F71061" w:rsidRDefault="00F71061" w:rsidP="00F71061">
      <w:pPr>
        <w:tabs>
          <w:tab w:val="left" w:pos="1440"/>
          <w:tab w:val="left" w:pos="1800"/>
          <w:tab w:val="left" w:pos="2880"/>
        </w:tabs>
        <w:jc w:val="center"/>
        <w:rPr>
          <w:color w:val="000000" w:themeColor="text1"/>
        </w:rPr>
      </w:pPr>
    </w:p>
    <w:p w:rsidR="00F71061" w:rsidRDefault="00F71061" w:rsidP="00F71061">
      <w:pPr>
        <w:tabs>
          <w:tab w:val="left" w:pos="1440"/>
          <w:tab w:val="left" w:pos="1800"/>
          <w:tab w:val="left" w:pos="2880"/>
        </w:tabs>
        <w:jc w:val="center"/>
        <w:rPr>
          <w:color w:val="000000" w:themeColor="text1"/>
        </w:rPr>
      </w:pPr>
      <w:r>
        <w:rPr>
          <w:color w:val="000000" w:themeColor="text1"/>
        </w:rPr>
        <w:t>__________</w:t>
      </w:r>
    </w:p>
    <w:p w:rsidR="00AC3314" w:rsidRDefault="00AC3314" w:rsidP="00F7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C3314" w:rsidSect="00AC3314">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14" w:rsidRDefault="00A72F7A">
      <w:r>
        <w:separator/>
      </w:r>
    </w:p>
  </w:endnote>
  <w:endnote w:type="continuationSeparator" w:id="0">
    <w:p w:rsidR="00AC3314" w:rsidRDefault="00A7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14" w:rsidRDefault="00A72F7A">
    <w:pPr>
      <w:pStyle w:val="Footer"/>
      <w:tabs>
        <w:tab w:val="clear" w:pos="4680"/>
        <w:tab w:val="clear" w:pos="9360"/>
        <w:tab w:val="center" w:pos="3168"/>
      </w:tabs>
      <w:spacing w:before="120"/>
    </w:pPr>
    <w:r>
      <w:tab/>
    </w:r>
    <w:r w:rsidR="00B911CB">
      <w:fldChar w:fldCharType="begin"/>
    </w:r>
    <w:r w:rsidR="0015215F">
      <w:instrText xml:space="preserve"> PAGE  \* MERGEFORMAT </w:instrText>
    </w:r>
    <w:r w:rsidR="00B911CB">
      <w:fldChar w:fldCharType="separate"/>
    </w:r>
    <w:r w:rsidR="00F71061">
      <w:rPr>
        <w:noProof/>
      </w:rPr>
      <w:t>22</w:t>
    </w:r>
    <w:r w:rsidR="00B911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14" w:rsidRDefault="00AC3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14" w:rsidRDefault="00A72F7A">
      <w:r>
        <w:separator/>
      </w:r>
    </w:p>
  </w:footnote>
  <w:footnote w:type="continuationSeparator" w:id="0">
    <w:p w:rsidR="00AC3314" w:rsidRDefault="00A72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摀঄վ찔㈇"/>
    <w:docVar w:name="ActBillNo" w:val="&lt;"/>
    <w:docVar w:name="ActSecretary" w:val="橄ㄴ摀঄վ찔㈇È饠ͱ竰ͭ賐 饠ͱᝨǶփḀ"/>
    <w:docVar w:name="ActSIdno" w:val="OFFICE ONLY F"/>
    <w:docVar w:name="clipname" w:val="&lt;@ :ā  쩢ā쩢쩢_x000a__x000a_ﮐ㉬ûĀPā  쩢ā쩢쩢_x000a__x000a_ﮐ㉬ûĀP쩢ā쩢쩢_x000a__x000a_ﮐ㉬ûĀP"/>
    <w:docVar w:name="dvBillNumber" w:val="&lt;@ :ā  쩢ā쩢쩢_x000a__x000a_ﮐ㉬ûĀPā  쩢ā쩢쩢_x000a__x000a_ﮐ㉬ûĀP쩢ā쩢쩢_x000a__x000a_ﮐ㉬ûĀP"/>
    <w:docVar w:name="dvBillNumberPrefix" w:val="橄ㄴ摀঄վ찔㈇È饠ͱ竰ͭ賐 饠ͱᝨǶփḀ"/>
    <w:docVar w:name="dvOriginalBody" w:val="栜ㄴվ竰ͭӤင뺘㈇Ɇ`Ѐ䴠ȫ뱐ș"/>
    <w:docVar w:name="OrigSENATEBillNo" w:val="&lt;@ :ā  쩢ā쩢쩢_x000a__x000a_ﮐ㉬ûĀPā  쩢ā쩢쩢_x000a__x000a_ﮐ㉬ûĀP쩢ā쩢쩢_x000a__x000a_ﮐ㉬ûĀPā쩢쩢_x000a__x000a_ﮐ㉬ûĀP"/>
    <w:docVar w:name="SENATEACTFULLPATH" w:val="彘㊵ᅐͩ☖Ŀult in the port not being developed in an expeditious manner, then the authority must take all available and necessary action to compel the partner to meet its obligations and, if necessary, terminate the"/>
    <w:docVar w:name="WhatActtype" w:val="application/vnd.openxmlformats-officedocument.wordprocessingml.webSettings+xmles+xml䛐Ï"/>
  </w:docVars>
  <w:rsids>
    <w:rsidRoot w:val="00AC3314"/>
    <w:rsid w:val="0015215F"/>
    <w:rsid w:val="00203993"/>
    <w:rsid w:val="00581C89"/>
    <w:rsid w:val="0059348A"/>
    <w:rsid w:val="005A633A"/>
    <w:rsid w:val="005F4765"/>
    <w:rsid w:val="006078BD"/>
    <w:rsid w:val="0065732C"/>
    <w:rsid w:val="00672641"/>
    <w:rsid w:val="006C627A"/>
    <w:rsid w:val="00734D50"/>
    <w:rsid w:val="007441E5"/>
    <w:rsid w:val="00752BF9"/>
    <w:rsid w:val="007D37A1"/>
    <w:rsid w:val="008272FF"/>
    <w:rsid w:val="00931B83"/>
    <w:rsid w:val="00934923"/>
    <w:rsid w:val="00992147"/>
    <w:rsid w:val="009A1044"/>
    <w:rsid w:val="009F3865"/>
    <w:rsid w:val="009F5514"/>
    <w:rsid w:val="00A52BB0"/>
    <w:rsid w:val="00A67FE8"/>
    <w:rsid w:val="00A72F7A"/>
    <w:rsid w:val="00AC3314"/>
    <w:rsid w:val="00B911CB"/>
    <w:rsid w:val="00C57778"/>
    <w:rsid w:val="00C633A4"/>
    <w:rsid w:val="00E16176"/>
    <w:rsid w:val="00E270C5"/>
    <w:rsid w:val="00E97181"/>
    <w:rsid w:val="00F71061"/>
    <w:rsid w:val="00FF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61A3DF31-8B02-46A4-B947-E75E2991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314"/>
    <w:pPr>
      <w:spacing w:before="0"/>
    </w:pPr>
  </w:style>
  <w:style w:type="paragraph" w:styleId="Heading1">
    <w:name w:val="heading 1"/>
    <w:basedOn w:val="Normal"/>
    <w:next w:val="Normal"/>
    <w:link w:val="Heading1Char"/>
    <w:uiPriority w:val="9"/>
    <w:qFormat/>
    <w:rsid w:val="00AC33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314"/>
    <w:pPr>
      <w:tabs>
        <w:tab w:val="center" w:pos="4680"/>
        <w:tab w:val="right" w:pos="9360"/>
      </w:tabs>
    </w:pPr>
  </w:style>
  <w:style w:type="character" w:customStyle="1" w:styleId="HeaderChar">
    <w:name w:val="Header Char"/>
    <w:basedOn w:val="DefaultParagraphFont"/>
    <w:link w:val="Header"/>
    <w:uiPriority w:val="99"/>
    <w:semiHidden/>
    <w:rsid w:val="00AC3314"/>
  </w:style>
  <w:style w:type="paragraph" w:styleId="Footer">
    <w:name w:val="footer"/>
    <w:basedOn w:val="Normal"/>
    <w:link w:val="FooterChar"/>
    <w:uiPriority w:val="99"/>
    <w:semiHidden/>
    <w:unhideWhenUsed/>
    <w:rsid w:val="00AC3314"/>
    <w:pPr>
      <w:tabs>
        <w:tab w:val="center" w:pos="4680"/>
        <w:tab w:val="right" w:pos="9360"/>
      </w:tabs>
    </w:pPr>
  </w:style>
  <w:style w:type="character" w:customStyle="1" w:styleId="FooterChar">
    <w:name w:val="Footer Char"/>
    <w:basedOn w:val="DefaultParagraphFont"/>
    <w:link w:val="Footer"/>
    <w:uiPriority w:val="99"/>
    <w:semiHidden/>
    <w:rsid w:val="00AC3314"/>
  </w:style>
  <w:style w:type="paragraph" w:styleId="BalloonText">
    <w:name w:val="Balloon Text"/>
    <w:basedOn w:val="Normal"/>
    <w:link w:val="BalloonTextChar"/>
    <w:uiPriority w:val="99"/>
    <w:semiHidden/>
    <w:unhideWhenUsed/>
    <w:rsid w:val="00AC3314"/>
    <w:rPr>
      <w:rFonts w:ascii="Tahoma" w:hAnsi="Tahoma" w:cs="Tahoma"/>
      <w:sz w:val="16"/>
      <w:szCs w:val="16"/>
    </w:rPr>
  </w:style>
  <w:style w:type="character" w:customStyle="1" w:styleId="BalloonTextChar">
    <w:name w:val="Balloon Text Char"/>
    <w:basedOn w:val="DefaultParagraphFont"/>
    <w:link w:val="BalloonText"/>
    <w:uiPriority w:val="99"/>
    <w:semiHidden/>
    <w:rsid w:val="00AC3314"/>
    <w:rPr>
      <w:rFonts w:ascii="Tahoma" w:hAnsi="Tahoma" w:cs="Tahoma"/>
      <w:sz w:val="16"/>
      <w:szCs w:val="16"/>
    </w:rPr>
  </w:style>
  <w:style w:type="table" w:styleId="TableGrid">
    <w:name w:val="Table Grid"/>
    <w:basedOn w:val="TableNormal"/>
    <w:uiPriority w:val="59"/>
    <w:rsid w:val="00AC33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331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2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09\02-17-09.docx" TargetMode="External"/><Relationship Id="rId18" Type="http://schemas.openxmlformats.org/officeDocument/2006/relationships/hyperlink" Target="file:///h:\HJ%20Archive\2009\04-29-09.docx" TargetMode="External"/><Relationship Id="rId26" Type="http://schemas.openxmlformats.org/officeDocument/2006/relationships/hyperlink" Target="file:///h:\SJ%20Archive\2009\05-20-09.docx" TargetMode="External"/><Relationship Id="rId39" Type="http://schemas.openxmlformats.org/officeDocument/2006/relationships/hyperlink" Target="file:///p:\pprever\2009-10\351_20090205.docx" TargetMode="External"/><Relationship Id="rId3" Type="http://schemas.openxmlformats.org/officeDocument/2006/relationships/webSettings" Target="webSettings.xml"/><Relationship Id="rId21" Type="http://schemas.openxmlformats.org/officeDocument/2006/relationships/hyperlink" Target="file:///h:\HJ%20Archive\2009\05-13-09.docx" TargetMode="External"/><Relationship Id="rId34" Type="http://schemas.openxmlformats.org/officeDocument/2006/relationships/hyperlink" Target="file:///h:\HJ%20Archive\2009\05-21-09.docx" TargetMode="External"/><Relationship Id="rId42" Type="http://schemas.openxmlformats.org/officeDocument/2006/relationships/hyperlink" Target="file:///p:\pprever\2009-10\351_20090218A.docx" TargetMode="External"/><Relationship Id="rId47" Type="http://schemas.openxmlformats.org/officeDocument/2006/relationships/hyperlink" Target="file:///p:\pprever\2009-10\351_20090521.docx" TargetMode="External"/><Relationship Id="rId50" Type="http://schemas.openxmlformats.org/officeDocument/2006/relationships/footer" Target="footer2.xml"/><Relationship Id="rId7" Type="http://schemas.openxmlformats.org/officeDocument/2006/relationships/hyperlink" Target="file:///h:\SJ%20Archive\2009\01-29-09.docx" TargetMode="External"/><Relationship Id="rId12" Type="http://schemas.openxmlformats.org/officeDocument/2006/relationships/hyperlink" Target="file:///h:\SJ%20Archive\2009\02-17-09.docx" TargetMode="External"/><Relationship Id="rId17" Type="http://schemas.openxmlformats.org/officeDocument/2006/relationships/hyperlink" Target="file:///h:\HJ%20Archive\2009\02-19-09.docx" TargetMode="External"/><Relationship Id="rId25" Type="http://schemas.openxmlformats.org/officeDocument/2006/relationships/hyperlink" Target="file:///h:\HJ%20Archive\2009\05-14-09.docx" TargetMode="External"/><Relationship Id="rId33" Type="http://schemas.openxmlformats.org/officeDocument/2006/relationships/hyperlink" Target="file:///h:\HJ%20Archive\2009\05-21-09.docx" TargetMode="External"/><Relationship Id="rId38" Type="http://schemas.openxmlformats.org/officeDocument/2006/relationships/hyperlink" Target="file:///p:\pprever\2009-10\351_20090204.docx" TargetMode="External"/><Relationship Id="rId46" Type="http://schemas.openxmlformats.org/officeDocument/2006/relationships/hyperlink" Target="file:///p:\pprever\2009-10\351_20090520.docx" TargetMode="External"/><Relationship Id="rId2" Type="http://schemas.openxmlformats.org/officeDocument/2006/relationships/settings" Target="settings.xml"/><Relationship Id="rId16" Type="http://schemas.openxmlformats.org/officeDocument/2006/relationships/hyperlink" Target="file:///h:\HJ%20Archive\2009\02-19-09.docx" TargetMode="External"/><Relationship Id="rId20" Type="http://schemas.openxmlformats.org/officeDocument/2006/relationships/hyperlink" Target="file:///h:\HJ%20Archive\2009\04-30-09.docx" TargetMode="External"/><Relationship Id="rId29" Type="http://schemas.openxmlformats.org/officeDocument/2006/relationships/hyperlink" Target="file:///h:\HJ%20Archive\2009\05-21-09.docx" TargetMode="External"/><Relationship Id="rId41" Type="http://schemas.openxmlformats.org/officeDocument/2006/relationships/hyperlink" Target="file:///p:\pprever\2009-10\351_20090218.docx" TargetMode="External"/><Relationship Id="rId1" Type="http://schemas.openxmlformats.org/officeDocument/2006/relationships/styles" Target="styles.xml"/><Relationship Id="rId6" Type="http://schemas.openxmlformats.org/officeDocument/2006/relationships/hyperlink" Target="file:///h:\SJ%20Archive\2009\01-29-09.docx" TargetMode="External"/><Relationship Id="rId11" Type="http://schemas.openxmlformats.org/officeDocument/2006/relationships/hyperlink" Target="file:///h:\SJ%20Archive\2009\02-17-09.docx" TargetMode="External"/><Relationship Id="rId24" Type="http://schemas.openxmlformats.org/officeDocument/2006/relationships/hyperlink" Target="file:///h:\HJ%20Archive\2009\05-13-09.docx" TargetMode="External"/><Relationship Id="rId32" Type="http://schemas.openxmlformats.org/officeDocument/2006/relationships/hyperlink" Target="file:///h:\SJ%20Archive\2009\05-21-09.docx" TargetMode="External"/><Relationship Id="rId37" Type="http://schemas.openxmlformats.org/officeDocument/2006/relationships/hyperlink" Target="file:///p:\pprever\2009-10\351_20090129.docx" TargetMode="External"/><Relationship Id="rId40" Type="http://schemas.openxmlformats.org/officeDocument/2006/relationships/hyperlink" Target="file:///p:\pprever\2009-10\351_20090217.docx" TargetMode="External"/><Relationship Id="rId45" Type="http://schemas.openxmlformats.org/officeDocument/2006/relationships/hyperlink" Target="file:///p:\pprever\2009-10\351_20090513.docx" TargetMode="External"/><Relationship Id="rId5" Type="http://schemas.openxmlformats.org/officeDocument/2006/relationships/endnotes" Target="endnotes.xml"/><Relationship Id="rId15" Type="http://schemas.openxmlformats.org/officeDocument/2006/relationships/hyperlink" Target="file:///h:\SJ%20Archive\2009\02-18-09.docx" TargetMode="External"/><Relationship Id="rId23" Type="http://schemas.openxmlformats.org/officeDocument/2006/relationships/hyperlink" Target="file:///h:\HJ%20Archive\2009\05-13-09.docx" TargetMode="External"/><Relationship Id="rId28" Type="http://schemas.openxmlformats.org/officeDocument/2006/relationships/hyperlink" Target="file:///h:\HJ%20Archive\2009\05-21-09.docx" TargetMode="External"/><Relationship Id="rId36" Type="http://schemas.openxmlformats.org/officeDocument/2006/relationships/hyperlink" Target="file:///h:\HJ%20Archive\2009\06-16-09.docx" TargetMode="External"/><Relationship Id="rId49" Type="http://schemas.openxmlformats.org/officeDocument/2006/relationships/footer" Target="footer1.xml"/><Relationship Id="rId10" Type="http://schemas.openxmlformats.org/officeDocument/2006/relationships/hyperlink" Target="file:///h:\SJ%20Archive\2009\02-12-09.docx" TargetMode="External"/><Relationship Id="rId19" Type="http://schemas.openxmlformats.org/officeDocument/2006/relationships/hyperlink" Target="file:///h:\HJ%20Archive\2009\04-30-09.docx" TargetMode="External"/><Relationship Id="rId31" Type="http://schemas.openxmlformats.org/officeDocument/2006/relationships/hyperlink" Target="file:///h:\HJ%20Archive\2009\05-21-09.docx" TargetMode="External"/><Relationship Id="rId44" Type="http://schemas.openxmlformats.org/officeDocument/2006/relationships/hyperlink" Target="file:///p:\pprever\2009-10\351_20090430.docx"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2-11-09.docx" TargetMode="External"/><Relationship Id="rId14" Type="http://schemas.openxmlformats.org/officeDocument/2006/relationships/hyperlink" Target="file:///h:\SJ%20Archive\2009\02-17-09.docx" TargetMode="External"/><Relationship Id="rId22" Type="http://schemas.openxmlformats.org/officeDocument/2006/relationships/hyperlink" Target="file:///h:\HJ%20Archive\2009\05-13-09.docx" TargetMode="External"/><Relationship Id="rId27" Type="http://schemas.openxmlformats.org/officeDocument/2006/relationships/hyperlink" Target="file:///h:\SJ%20Archive\2009\05-20-09.docx" TargetMode="External"/><Relationship Id="rId30" Type="http://schemas.openxmlformats.org/officeDocument/2006/relationships/hyperlink" Target="file:///h:\SJ%20Archive\2009\05-21-09.docx" TargetMode="External"/><Relationship Id="rId35" Type="http://schemas.openxmlformats.org/officeDocument/2006/relationships/hyperlink" Target="file:///h:\HJ%20Archive\2009\05-21-09.docx" TargetMode="External"/><Relationship Id="rId43" Type="http://schemas.openxmlformats.org/officeDocument/2006/relationships/hyperlink" Target="file:///p:\pprever\2009-10\351_20090429.docx" TargetMode="External"/><Relationship Id="rId48" Type="http://schemas.openxmlformats.org/officeDocument/2006/relationships/hyperlink" Target="file:///p:\pprever\2009-10\351_20090521A.docx" TargetMode="External"/><Relationship Id="rId8" Type="http://schemas.openxmlformats.org/officeDocument/2006/relationships/hyperlink" Target="file:///h:\SJ%20Archive\2009\02-04-09.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7655</Words>
  <Characters>40416</Characters>
  <Application>Microsoft Office Word</Application>
  <DocSecurity>0</DocSecurity>
  <Lines>978</Lines>
  <Paragraphs>266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351: Ports Authority - South Carolina Legislature Online</dc:title>
  <dc:subject/>
  <dc:creator>GAYLE KUBALA</dc:creator>
  <cp:keywords/>
  <dc:description/>
  <cp:lastModifiedBy>N Cumfer</cp:lastModifiedBy>
  <cp:revision>6</cp:revision>
  <cp:lastPrinted>2009-05-22T17:27:00Z</cp:lastPrinted>
  <dcterms:created xsi:type="dcterms:W3CDTF">2009-08-04T15:24:00Z</dcterms:created>
  <dcterms:modified xsi:type="dcterms:W3CDTF">2014-11-24T14:58:00Z</dcterms:modified>
</cp:coreProperties>
</file>