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107C50" w:rsidRDefault="00107C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 R40, H3721</w:t>
      </w:r>
    </w:p>
    <w:p w:rsidR="00107C50" w:rsidRDefault="00107C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107C50" w:rsidRDefault="00107C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Kirsh</w:t>
      </w: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l:\council\bills\agm\19338mm09.docx</w:t>
      </w: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3383</w:t>
      </w:r>
    </w:p>
    <w:p w:rsidR="00107C50" w:rsidRDefault="00107C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24, 2009</w:t>
      </w: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29, 2009</w:t>
      </w: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7, 2009</w:t>
      </w:r>
    </w:p>
    <w:p w:rsidR="00107C50" w:rsidRDefault="00107C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Internal Revenue Code</w:t>
      </w:r>
    </w:p>
    <w:p w:rsidR="00107C50" w:rsidRDefault="00107C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7C50" w:rsidRDefault="00107C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7C50" w:rsidRDefault="00123B72">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107C50" w:rsidRDefault="00107C50">
      <w:pPr>
        <w:widowControl w:val="0"/>
        <w:tabs>
          <w:tab w:val="center" w:pos="590"/>
          <w:tab w:val="center" w:pos="1440"/>
          <w:tab w:val="left" w:pos="1872"/>
          <w:tab w:val="left" w:pos="9187"/>
        </w:tabs>
        <w:rPr>
          <w:rFonts w:eastAsia="Times New Roman" w:cs="Times New Roman"/>
          <w:szCs w:val="20"/>
        </w:rPr>
      </w:pPr>
    </w:p>
    <w:p w:rsidR="00107C50" w:rsidRDefault="00123B72">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t xml:space="preserve">Introduced and read first time </w:t>
      </w:r>
      <w:hyperlink r:id="rId6" w:history="1">
        <w:r w:rsidRPr="001B2618">
          <w:rPr>
            <w:rStyle w:val="Hyperlink"/>
            <w:rFonts w:cs="Times New Roman"/>
          </w:rPr>
          <w:t>HJ</w:t>
        </w:r>
      </w:hyperlink>
      <w:r>
        <w:rPr>
          <w:rFonts w:cs="Times New Roman"/>
        </w:rPr>
        <w:noBreakHyphen/>
        <w:t>10</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t xml:space="preserve">Referred to Committee on </w:t>
      </w:r>
      <w:r>
        <w:rPr>
          <w:rFonts w:cs="Times New Roman"/>
          <w:b/>
        </w:rPr>
        <w:t>Ways and Means</w:t>
      </w:r>
      <w:r>
        <w:rPr>
          <w:rFonts w:cs="Times New Roman"/>
        </w:rPr>
        <w:t xml:space="preserve"> </w:t>
      </w:r>
      <w:hyperlink r:id="rId7" w:history="1">
        <w:r w:rsidRPr="001B2618">
          <w:rPr>
            <w:rStyle w:val="Hyperlink"/>
            <w:rFonts w:cs="Times New Roman"/>
          </w:rPr>
          <w:t>HJ</w:t>
        </w:r>
      </w:hyperlink>
      <w:r>
        <w:rPr>
          <w:rFonts w:cs="Times New Roman"/>
        </w:rPr>
        <w:noBreakHyphen/>
        <w:t>11</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Committee report: Favorable </w:t>
      </w:r>
      <w:r>
        <w:rPr>
          <w:rFonts w:cs="Times New Roman"/>
          <w:b/>
        </w:rPr>
        <w:t>Ways and Means</w:t>
      </w:r>
      <w:r>
        <w:rPr>
          <w:rFonts w:cs="Times New Roman"/>
        </w:rPr>
        <w:t xml:space="preserve"> </w:t>
      </w:r>
      <w:hyperlink r:id="rId8" w:history="1">
        <w:r w:rsidRPr="001B2618">
          <w:rPr>
            <w:rStyle w:val="Hyperlink"/>
            <w:rFonts w:cs="Times New Roman"/>
          </w:rPr>
          <w:t>HJ</w:t>
        </w:r>
      </w:hyperlink>
      <w:r>
        <w:rPr>
          <w:rFonts w:cs="Times New Roman"/>
        </w:rPr>
        <w:noBreakHyphen/>
        <w:t>6</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Read second time </w:t>
      </w:r>
      <w:hyperlink r:id="rId9" w:history="1">
        <w:r w:rsidRPr="001B2618">
          <w:rPr>
            <w:rStyle w:val="Hyperlink"/>
            <w:rFonts w:cs="Times New Roman"/>
          </w:rPr>
          <w:t>HJ</w:t>
        </w:r>
      </w:hyperlink>
      <w:r>
        <w:rPr>
          <w:rFonts w:cs="Times New Roman"/>
        </w:rPr>
        <w:noBreakHyphen/>
        <w:t>33</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r>
      <w:r>
        <w:rPr>
          <w:rFonts w:cs="Times New Roman"/>
        </w:rPr>
        <w:tab/>
        <w:t>Scrivener's error corrected</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Read third time and sent to Senate </w:t>
      </w:r>
      <w:hyperlink r:id="rId10" w:history="1">
        <w:r w:rsidRPr="001B2618">
          <w:rPr>
            <w:rStyle w:val="Hyperlink"/>
            <w:rFonts w:cs="Times New Roman"/>
          </w:rPr>
          <w:t>HJ</w:t>
        </w:r>
      </w:hyperlink>
      <w:r>
        <w:rPr>
          <w:rFonts w:cs="Times New Roman"/>
        </w:rPr>
        <w:noBreakHyphen/>
        <w:t>12</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Introduced and read first time </w:t>
      </w:r>
      <w:hyperlink r:id="rId11" w:history="1">
        <w:r w:rsidRPr="001B2618">
          <w:rPr>
            <w:rStyle w:val="Hyperlink"/>
            <w:rFonts w:cs="Times New Roman"/>
          </w:rPr>
          <w:t>SJ</w:t>
        </w:r>
      </w:hyperlink>
      <w:r>
        <w:rPr>
          <w:rFonts w:cs="Times New Roman"/>
        </w:rPr>
        <w:noBreakHyphen/>
        <w:t>22</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Referred to Committee on </w:t>
      </w:r>
      <w:r>
        <w:rPr>
          <w:rFonts w:cs="Times New Roman"/>
          <w:b/>
        </w:rPr>
        <w:t>Finance</w:t>
      </w:r>
      <w:r>
        <w:rPr>
          <w:rFonts w:cs="Times New Roman"/>
        </w:rPr>
        <w:t xml:space="preserve"> </w:t>
      </w:r>
      <w:hyperlink r:id="rId12" w:history="1">
        <w:r w:rsidRPr="001B2618">
          <w:rPr>
            <w:rStyle w:val="Hyperlink"/>
            <w:rFonts w:cs="Times New Roman"/>
          </w:rPr>
          <w:t>SJ</w:t>
        </w:r>
      </w:hyperlink>
      <w:r>
        <w:rPr>
          <w:rFonts w:cs="Times New Roman"/>
        </w:rPr>
        <w:noBreakHyphen/>
        <w:t>22</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Committee report: Favorable </w:t>
      </w:r>
      <w:r>
        <w:rPr>
          <w:rFonts w:cs="Times New Roman"/>
          <w:b/>
        </w:rPr>
        <w:t>Finance</w:t>
      </w:r>
      <w:r>
        <w:rPr>
          <w:rFonts w:cs="Times New Roman"/>
        </w:rPr>
        <w:t xml:space="preserve"> </w:t>
      </w:r>
      <w:hyperlink r:id="rId13" w:history="1">
        <w:r w:rsidRPr="001B2618">
          <w:rPr>
            <w:rStyle w:val="Hyperlink"/>
            <w:rFonts w:cs="Times New Roman"/>
          </w:rPr>
          <w:t>SJ</w:t>
        </w:r>
      </w:hyperlink>
      <w:r>
        <w:rPr>
          <w:rFonts w:cs="Times New Roman"/>
        </w:rPr>
        <w:noBreakHyphen/>
        <w:t>10</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Read second time </w:t>
      </w:r>
      <w:hyperlink r:id="rId14" w:history="1">
        <w:r w:rsidRPr="001B2618">
          <w:rPr>
            <w:rStyle w:val="Hyperlink"/>
            <w:rFonts w:cs="Times New Roman"/>
          </w:rPr>
          <w:t>SJ</w:t>
        </w:r>
      </w:hyperlink>
      <w:r>
        <w:rPr>
          <w:rFonts w:cs="Times New Roman"/>
        </w:rPr>
        <w:noBreakHyphen/>
        <w:t>30</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t xml:space="preserve">Read third time and enrolled </w:t>
      </w:r>
      <w:hyperlink r:id="rId15" w:history="1">
        <w:r w:rsidRPr="001B2618">
          <w:rPr>
            <w:rStyle w:val="Hyperlink"/>
            <w:rFonts w:cs="Times New Roman"/>
          </w:rPr>
          <w:t>SJ</w:t>
        </w:r>
      </w:hyperlink>
      <w:r>
        <w:rPr>
          <w:rFonts w:cs="Times New Roman"/>
        </w:rPr>
        <w:noBreakHyphen/>
        <w:t>6</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40</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r>
      <w:r>
        <w:rPr>
          <w:rFonts w:cs="Times New Roman"/>
        </w:rPr>
        <w:tab/>
        <w:t>Became law without Governor's signature</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05/07/09</w:t>
      </w:r>
    </w:p>
    <w:p w:rsidR="00107C50" w:rsidRDefault="00123B72">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16</w:t>
      </w:r>
    </w:p>
    <w:p w:rsidR="00107C50" w:rsidRDefault="00107C50">
      <w:pPr>
        <w:widowControl w:val="0"/>
        <w:tabs>
          <w:tab w:val="right" w:pos="1008"/>
          <w:tab w:val="left" w:pos="1152"/>
          <w:tab w:val="left" w:pos="1872"/>
          <w:tab w:val="left" w:pos="9187"/>
        </w:tabs>
        <w:ind w:left="2088" w:hanging="2088"/>
        <w:rPr>
          <w:rFonts w:cs="Times New Roman"/>
        </w:rPr>
      </w:pPr>
    </w:p>
    <w:p w:rsidR="00107C50" w:rsidRDefault="00107C50">
      <w:pPr>
        <w:widowControl w:val="0"/>
        <w:tabs>
          <w:tab w:val="right" w:pos="1008"/>
          <w:tab w:val="left" w:pos="1152"/>
          <w:tab w:val="left" w:pos="1872"/>
          <w:tab w:val="left" w:pos="9187"/>
        </w:tabs>
        <w:ind w:left="2088" w:hanging="2088"/>
        <w:rPr>
          <w:rFonts w:eastAsia="Times New Roman" w:cs="Times New Roman"/>
          <w:szCs w:val="20"/>
        </w:rPr>
      </w:pPr>
    </w:p>
    <w:p w:rsidR="00107C50" w:rsidRDefault="00123B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107C50" w:rsidRDefault="00107C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7C50" w:rsidRDefault="00E838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123B72">
          <w:rPr>
            <w:rFonts w:eastAsia="Times New Roman" w:cs="Times New Roman"/>
            <w:color w:val="0000FF" w:themeColor="hyperlink"/>
            <w:szCs w:val="20"/>
            <w:u w:val="single"/>
          </w:rPr>
          <w:t>3/24/2009</w:t>
        </w:r>
      </w:hyperlink>
    </w:p>
    <w:p w:rsidR="00107C50" w:rsidRDefault="00E8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23B72">
          <w:rPr>
            <w:rFonts w:eastAsia="Times New Roman" w:cs="Times New Roman"/>
            <w:color w:val="0000FF" w:themeColor="hyperlink"/>
            <w:szCs w:val="20"/>
            <w:u w:val="single"/>
          </w:rPr>
          <w:t>3/31/2009</w:t>
        </w:r>
      </w:hyperlink>
    </w:p>
    <w:p w:rsidR="00107C50" w:rsidRDefault="00E8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23B72">
          <w:rPr>
            <w:rFonts w:eastAsia="Times New Roman" w:cs="Times New Roman"/>
            <w:color w:val="0000FF" w:themeColor="hyperlink"/>
            <w:szCs w:val="20"/>
            <w:u w:val="single"/>
          </w:rPr>
          <w:t>4/1/2009</w:t>
        </w:r>
      </w:hyperlink>
    </w:p>
    <w:p w:rsidR="00107C50" w:rsidRDefault="00E838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23B72">
          <w:rPr>
            <w:rFonts w:eastAsia="Times New Roman" w:cs="Times New Roman"/>
            <w:color w:val="0000FF" w:themeColor="hyperlink"/>
            <w:szCs w:val="20"/>
            <w:u w:val="single"/>
          </w:rPr>
          <w:t>4/22/2009</w:t>
        </w:r>
      </w:hyperlink>
    </w:p>
    <w:p w:rsidR="00107C50" w:rsidRDefault="00107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7C50" w:rsidRDefault="00107C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7C50">
          <w:pgSz w:w="12240" w:h="15840" w:code="1"/>
          <w:pgMar w:top="1080" w:right="1440" w:bottom="1080" w:left="1440" w:header="720" w:footer="720" w:gutter="0"/>
          <w:pgNumType w:start="1"/>
          <w:cols w:space="720"/>
          <w:noEndnote/>
          <w:docGrid w:linePitch="360"/>
        </w:sect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 R40, H3721)</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12</w:t>
      </w:r>
      <w:r>
        <w:rPr>
          <w:rFonts w:cs="Times New Roman"/>
          <w:b/>
        </w:rPr>
        <w:noBreakHyphen/>
        <w:t>6</w:t>
      </w:r>
      <w:r>
        <w:rPr>
          <w:rFonts w:cs="Times New Roman"/>
          <w:b/>
        </w:rPr>
        <w:noBreakHyphen/>
        <w:t>40, AS AMENDED, CODE OF LAWS OF SOUTH CAROLINA, 1976, RELATING TO THE APPLICATION OF THE INTERNAL REVENUE CODE TO STATE TAX LAWS, SO AS TO UPDATE THE REFERENCE TO THE INTERNAL REVENUE CODE TO THE YEAR 2008; TO AMEND SECTION 12</w:t>
      </w:r>
      <w:r>
        <w:rPr>
          <w:rFonts w:cs="Times New Roman"/>
          <w:b/>
        </w:rPr>
        <w:noBreakHyphen/>
        <w:t>6</w:t>
      </w:r>
      <w:r>
        <w:rPr>
          <w:rFonts w:cs="Times New Roman"/>
          <w:b/>
        </w:rPr>
        <w:noBreakHyphen/>
        <w:t>50, AS AMENDED, RELATING TO INTERNAL REVENUE CODE SECTIONS NOT ADOPTED BY STATE LAW, SO AS TO MAKE ADDITIONS; AND TO PROVIDE THAT A TAXPAYER WHO FOLLOWS SECTION 3094 OF THE FEDERAL HOUSING ECONOMIC RECOVERY ACT OF 2008, FOR SOUTH CAROLINA PURPOSES MUST NOT BE PENALIZED.</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Application of federal Internal Revenue Code to state tax laws</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12</w:t>
      </w:r>
      <w:r>
        <w:rPr>
          <w:rFonts w:cs="Times New Roman"/>
        </w:rPr>
        <w:noBreakHyphen/>
        <w:t>6</w:t>
      </w:r>
      <w:r>
        <w:rPr>
          <w:rFonts w:cs="Times New Roman"/>
        </w:rPr>
        <w:noBreakHyphen/>
        <w:t>40(A)(1)(a) of the 1976 Code, as last amended by Act 311 of 2008, is further amended to read:</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“(a)</w:t>
      </w:r>
      <w:r>
        <w:rPr>
          <w:rFonts w:cs="Times New Roman"/>
        </w:rPr>
        <w:tab/>
        <w:t>Except as otherwise provided, ‘Internal Revenue Code’ means the Internal Revenue Code of 1986, as amended through December 31, 2008, and includes the effective date provisions contained in it.”</w:t>
      </w:r>
      <w:r>
        <w:rPr>
          <w:rFonts w:cs="Times New Roman"/>
          <w:szCs w:val="24"/>
        </w:rPr>
        <w:t xml:space="preserve">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Internal Revenue Code sections specifically not adopted by State</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w:t>
      </w:r>
      <w:r>
        <w:rPr>
          <w:rFonts w:cs="Times New Roman"/>
          <w:szCs w:val="24"/>
        </w:rPr>
        <w:tab/>
        <w:t>2.</w:t>
      </w:r>
      <w:r>
        <w:rPr>
          <w:rFonts w:cs="Times New Roman"/>
          <w:szCs w:val="24"/>
        </w:rPr>
        <w:tab/>
        <w:t>Section 12</w:t>
      </w:r>
      <w:r>
        <w:rPr>
          <w:rFonts w:cs="Times New Roman"/>
          <w:szCs w:val="24"/>
        </w:rPr>
        <w:noBreakHyphen/>
        <w:t>6</w:t>
      </w:r>
      <w:r>
        <w:rPr>
          <w:rFonts w:cs="Times New Roman"/>
          <w:szCs w:val="24"/>
        </w:rPr>
        <w:noBreakHyphen/>
        <w:t>50 of the 1976 Code, as last amended by Act 116 of 2007, is further amended to read:</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12</w:t>
      </w:r>
      <w:r>
        <w:rPr>
          <w:rFonts w:cs="Times New Roman"/>
          <w:szCs w:val="24"/>
        </w:rPr>
        <w:noBreakHyphen/>
        <w:t>6</w:t>
      </w:r>
      <w:r>
        <w:rPr>
          <w:rFonts w:cs="Times New Roman"/>
          <w:szCs w:val="24"/>
        </w:rPr>
        <w:noBreakHyphen/>
        <w:t>50.</w:t>
      </w:r>
      <w:r>
        <w:rPr>
          <w:rFonts w:cs="Times New Roman"/>
          <w:szCs w:val="24"/>
        </w:rPr>
        <w:tab/>
        <w:t xml:space="preserve">For purposes of this title and all other titles that provide for taxes administered by the department, except as otherwise specifically provided, the following Internal Revenue Code Sections are specifically not adopted by this State: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Sections 1(a) through 1(e), 3, 11, and 1201 relating to federal tax rates;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Sections 22 through 54, 515, 853, 901 through 908, and 960 relating to tax credits;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 xml:space="preserve">Sections 55 through 59 relating to minimum taxes;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 xml:space="preserve">Sections 78, 86, 87, 168(k), 168(l), 168(m), 168(n), 196, and 280C relating to dividends received from certain foreign corporations by domestic corporations, taxation of social security and certain </w:t>
      </w:r>
      <w:r>
        <w:rPr>
          <w:rFonts w:cs="Times New Roman"/>
          <w:szCs w:val="24"/>
        </w:rPr>
        <w:lastRenderedPageBreak/>
        <w:t xml:space="preserve">railroad retirement benefits, the alcohol fuel credit, bonus depreciation, deductions for certain unused business credits, and certain expenses for which credits are allowable;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w:t>
      </w:r>
      <w:r>
        <w:rPr>
          <w:rFonts w:cs="Times New Roman"/>
          <w:szCs w:val="24"/>
        </w:rPr>
        <w:tab/>
        <w:t xml:space="preserve">Sections 72(m)(5)(B), 72(f), 72(o), 72(q), and 72(t), relating to penalty taxes on certain retirement plan distributions;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w:t>
      </w:r>
      <w:r>
        <w:rPr>
          <w:rFonts w:cs="Times New Roman"/>
          <w:szCs w:val="24"/>
        </w:rPr>
        <w:tab/>
        <w:t xml:space="preserve">Section 172(b)(1) relating to net operating loss carrybacks;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(7)</w:t>
      </w:r>
      <w:r>
        <w:rPr>
          <w:rFonts w:cs="Times New Roman"/>
          <w:szCs w:val="24"/>
        </w:rPr>
        <w:tab/>
        <w:t xml:space="preserve">Section 199 relating to the deduction attributable to domestic production activities;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(8)</w:t>
      </w:r>
      <w:r>
        <w:rPr>
          <w:rFonts w:cs="Times New Roman"/>
          <w:szCs w:val="24"/>
        </w:rPr>
        <w:tab/>
        <w:t xml:space="preserve">Sections 531 through 564 relating to certain special taxes on corporations;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(9)</w:t>
      </w:r>
      <w:r>
        <w:rPr>
          <w:rFonts w:cs="Times New Roman"/>
          <w:szCs w:val="24"/>
        </w:rPr>
        <w:tab/>
        <w:t xml:space="preserve">Sections 581, 582, and 585 through 596 relating to the taxation of banking institutions;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(10)</w:t>
      </w:r>
      <w:r>
        <w:rPr>
          <w:rFonts w:cs="Times New Roman"/>
          <w:szCs w:val="24"/>
        </w:rPr>
        <w:tab/>
        <w:t xml:space="preserve">Sections 665 through 668 relating to taxation of certain accumulation distributions from trusts;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(11)</w:t>
      </w:r>
      <w:r>
        <w:rPr>
          <w:rFonts w:cs="Times New Roman"/>
          <w:szCs w:val="24"/>
        </w:rPr>
        <w:tab/>
        <w:t xml:space="preserve">Sections 801 through 845 relating to taxation of insurance companies;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(12)</w:t>
      </w:r>
      <w:r>
        <w:rPr>
          <w:rFonts w:cs="Times New Roman"/>
          <w:szCs w:val="24"/>
        </w:rPr>
        <w:tab/>
        <w:t xml:space="preserve">Sections 861 through 908, 912, 931 through 940, and 944 through 989 relating to the taxation of foreign income;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(13)</w:t>
      </w:r>
      <w:r>
        <w:rPr>
          <w:rFonts w:cs="Times New Roman"/>
          <w:szCs w:val="24"/>
        </w:rPr>
        <w:tab/>
        <w:t xml:space="preserve">Sections 1352 through 1359 relating to an alternative tax on qualifying shipping activities;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(14)</w:t>
      </w:r>
      <w:r>
        <w:rPr>
          <w:rFonts w:cs="Times New Roman"/>
          <w:szCs w:val="24"/>
        </w:rPr>
        <w:tab/>
        <w:t xml:space="preserve">Sections 1400 through 1494;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(15)</w:t>
      </w:r>
      <w:r>
        <w:rPr>
          <w:rFonts w:cs="Times New Roman"/>
          <w:szCs w:val="24"/>
        </w:rPr>
        <w:tab/>
        <w:t xml:space="preserve">Sections 1501 through 1505 relating to consolidated tax returns; and </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(16)</w:t>
      </w:r>
      <w:r>
        <w:rPr>
          <w:rFonts w:cs="Times New Roman"/>
          <w:szCs w:val="24"/>
        </w:rPr>
        <w:tab/>
        <w:t>Sections 2001 through 7655, 7801 through 7871, and 8001 through 9602, except for Sections 6015 and 6701, and except for Sections 6654 and 6655 which are adopted as provided in Section 12</w:t>
      </w:r>
      <w:r>
        <w:rPr>
          <w:rFonts w:cs="Times New Roman"/>
          <w:szCs w:val="24"/>
        </w:rPr>
        <w:noBreakHyphen/>
        <w:t>6</w:t>
      </w:r>
      <w:r>
        <w:rPr>
          <w:rFonts w:cs="Times New Roman"/>
          <w:szCs w:val="24"/>
        </w:rPr>
        <w:noBreakHyphen/>
        <w:t>3910 and Section 12</w:t>
      </w:r>
      <w:r>
        <w:rPr>
          <w:rFonts w:cs="Times New Roman"/>
          <w:szCs w:val="24"/>
        </w:rPr>
        <w:noBreakHyphen/>
        <w:t>54</w:t>
      </w:r>
      <w:r>
        <w:rPr>
          <w:rFonts w:cs="Times New Roman"/>
          <w:szCs w:val="24"/>
        </w:rPr>
        <w:noBreakHyphen/>
        <w:t>55.”</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Effect of compliance with the federal Housing Economic Recovery Act of 2008</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w:t>
      </w:r>
      <w:r>
        <w:rPr>
          <w:rFonts w:cs="Times New Roman"/>
          <w:szCs w:val="24"/>
        </w:rPr>
        <w:tab/>
        <w:t>3.</w:t>
      </w:r>
      <w:r>
        <w:rPr>
          <w:rFonts w:cs="Times New Roman"/>
          <w:szCs w:val="24"/>
        </w:rPr>
        <w:tab/>
        <w:t>For purposes of Section 12</w:t>
      </w:r>
      <w:r>
        <w:rPr>
          <w:rFonts w:cs="Times New Roman"/>
          <w:szCs w:val="24"/>
        </w:rPr>
        <w:noBreakHyphen/>
        <w:t>6</w:t>
      </w:r>
      <w:r>
        <w:rPr>
          <w:rFonts w:cs="Times New Roman"/>
          <w:szCs w:val="24"/>
        </w:rPr>
        <w:noBreakHyphen/>
        <w:t>3910, as last amended by Act 363 of 2002, a taxpayer must not be penalized for following the provisions of Section 3094 of the federal Housing Economic Recovery Act of 2008 (PL 110</w:t>
      </w:r>
      <w:r>
        <w:rPr>
          <w:rFonts w:cs="Times New Roman"/>
          <w:szCs w:val="24"/>
        </w:rPr>
        <w:noBreakHyphen/>
        <w:t>289) for South Carolina purposes.</w:t>
      </w:r>
    </w:p>
    <w:p w:rsidR="00E672E9" w:rsidRDefault="00E672E9"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E672E9" w:rsidRDefault="00E672E9" w:rsidP="00E672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E672E9" w:rsidRDefault="00E672E9" w:rsidP="00E672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72E9" w:rsidRDefault="00E672E9" w:rsidP="00E672E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This act takes effect upon approval by the Governor.</w:t>
      </w:r>
    </w:p>
    <w:p w:rsidR="00E672E9" w:rsidRDefault="00E672E9" w:rsidP="00E672E9">
      <w:pPr>
        <w:keepNext/>
        <w:tabs>
          <w:tab w:val="left" w:pos="1440"/>
          <w:tab w:val="left" w:pos="1800"/>
          <w:tab w:val="left" w:pos="2880"/>
        </w:tabs>
        <w:rPr>
          <w:color w:val="000000" w:themeColor="text1"/>
        </w:rPr>
      </w:pPr>
    </w:p>
    <w:p w:rsidR="00E672E9" w:rsidRDefault="00E672E9" w:rsidP="00E672E9">
      <w:pPr>
        <w:keepNext/>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E672E9" w:rsidRDefault="00E672E9" w:rsidP="00E672E9">
      <w:pPr>
        <w:keepNext/>
        <w:tabs>
          <w:tab w:val="left" w:pos="1440"/>
          <w:tab w:val="left" w:pos="1800"/>
          <w:tab w:val="left" w:pos="2880"/>
        </w:tabs>
        <w:rPr>
          <w:color w:val="000000" w:themeColor="text1"/>
        </w:rPr>
      </w:pPr>
    </w:p>
    <w:p w:rsidR="00E672E9" w:rsidRDefault="00E672E9" w:rsidP="00E672E9">
      <w:pPr>
        <w:keepNext/>
        <w:tabs>
          <w:tab w:val="left" w:pos="1440"/>
          <w:tab w:val="left" w:pos="1800"/>
          <w:tab w:val="left" w:pos="2880"/>
        </w:tabs>
        <w:rPr>
          <w:color w:val="000000" w:themeColor="text1"/>
        </w:rPr>
      </w:pPr>
      <w:r>
        <w:rPr>
          <w:color w:val="000000" w:themeColor="text1"/>
        </w:rPr>
        <w:t xml:space="preserve">Became law without the signature of the Governor -- 5/7/09. </w:t>
      </w:r>
    </w:p>
    <w:p w:rsidR="00E672E9" w:rsidRDefault="00E672E9" w:rsidP="00E672E9">
      <w:pPr>
        <w:keepNext/>
        <w:tabs>
          <w:tab w:val="left" w:pos="1440"/>
          <w:tab w:val="left" w:pos="1800"/>
          <w:tab w:val="left" w:pos="2880"/>
        </w:tabs>
        <w:jc w:val="center"/>
        <w:rPr>
          <w:color w:val="000000" w:themeColor="text1"/>
        </w:rPr>
      </w:pPr>
    </w:p>
    <w:p w:rsidR="00E672E9" w:rsidRDefault="00E672E9" w:rsidP="00E672E9">
      <w:pPr>
        <w:keepNext/>
        <w:tabs>
          <w:tab w:val="left" w:pos="1440"/>
          <w:tab w:val="left" w:pos="1800"/>
          <w:tab w:val="left" w:pos="2880"/>
        </w:tabs>
        <w:jc w:val="center"/>
        <w:rPr>
          <w:color w:val="000000" w:themeColor="text1"/>
        </w:rPr>
      </w:pPr>
      <w:r>
        <w:rPr>
          <w:color w:val="000000" w:themeColor="text1"/>
        </w:rPr>
        <w:t>__________</w:t>
      </w:r>
    </w:p>
    <w:p w:rsidR="00107C50" w:rsidRDefault="00107C50" w:rsidP="00E67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07C50" w:rsidSect="0045227A">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C50" w:rsidRDefault="00123B72">
      <w:r>
        <w:separator/>
      </w:r>
    </w:p>
  </w:endnote>
  <w:endnote w:type="continuationSeparator" w:id="0">
    <w:p w:rsidR="00107C50" w:rsidRDefault="0012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7A" w:rsidRDefault="00123B72">
    <w:pPr>
      <w:pStyle w:val="Footer"/>
      <w:tabs>
        <w:tab w:val="clear" w:pos="4680"/>
        <w:tab w:val="clear" w:pos="9360"/>
        <w:tab w:val="center" w:pos="3168"/>
      </w:tabs>
      <w:spacing w:before="120"/>
    </w:pPr>
    <w:r>
      <w:tab/>
    </w:r>
    <w:r w:rsidR="00F64133">
      <w:fldChar w:fldCharType="begin"/>
    </w:r>
    <w:r>
      <w:instrText xml:space="preserve"> PAGE  \* MERGEFORMAT </w:instrText>
    </w:r>
    <w:r w:rsidR="00F64133">
      <w:fldChar w:fldCharType="separate"/>
    </w:r>
    <w:r w:rsidR="00E7188C">
      <w:rPr>
        <w:noProof/>
      </w:rPr>
      <w:t>2</w:t>
    </w:r>
    <w:r w:rsidR="00F6413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27A" w:rsidRDefault="00E83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C50" w:rsidRDefault="00123B72">
      <w:r>
        <w:separator/>
      </w:r>
    </w:p>
  </w:footnote>
  <w:footnote w:type="continuationSeparator" w:id="0">
    <w:p w:rsidR="00107C50" w:rsidRDefault="00123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splitPgBreakAndParaMark/>
    <w:compatSetting w:name="compatibilityMode" w:uri="http://schemas.microsoft.com/office/word" w:val="12"/>
  </w:compat>
  <w:docVars>
    <w:docVar w:name="ActBillNo" w:val="㊐䝰լ0"/>
    <w:docVar w:name="ActSecretary" w:val="머㊯먐㊯৔永㔴"/>
    <w:docVar w:name="ActSIdno" w:val="黰त鼚त$/word/settings.xmlapplication/vnd.openxmlformats-officedocument.wordprocessingml.settings+xml"/>
    <w:docVar w:name="clipname" w:val="䭌硌剃汥瑡潩獮楨䡰aﾝ翏㉶耰㉶웣㉼여㉢䀘؇伌Ȧ"/>
    <w:docVar w:name="dvBillNumber" w:val="㊐䝰լ0"/>
    <w:docVar w:name="dvBillNumberPrefix" w:val="w:docVa"/>
    <w:docVar w:name="dvOriginalBody" w:val="w:\sess118_2009-2010\bills\3721.doc"/>
    <w:docVar w:name="HOUSEACTFULLPATH" w:val="乐㊠爐㊷冐ջ乐㊠晄㊷:\ubills\3203.docx\bills\3635.htm2ք乐㊠晄㊷ᓈշ2ք乐㊠晄㊷①ڲ─ڲ2ք"/>
    <w:docVar w:name="OrigHOUSEBillNo" w:val="㊐䝰լ0"/>
    <w:docVar w:name="WhatActtype" w:val="머㊯먐㊯৔永㔴৒洱㔴"/>
  </w:docVars>
  <w:rsids>
    <w:rsidRoot w:val="00107C50"/>
    <w:rsid w:val="00107C50"/>
    <w:rsid w:val="00123B72"/>
    <w:rsid w:val="001B2618"/>
    <w:rsid w:val="001E3184"/>
    <w:rsid w:val="00535E5F"/>
    <w:rsid w:val="00763B85"/>
    <w:rsid w:val="00864E7B"/>
    <w:rsid w:val="00BA2FDD"/>
    <w:rsid w:val="00E672E9"/>
    <w:rsid w:val="00E7188C"/>
    <w:rsid w:val="00E8383D"/>
    <w:rsid w:val="00F6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15:docId w15:val="{D260662B-EE00-4A8C-97A9-237D451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C50"/>
    <w:pPr>
      <w:spacing w:before="0"/>
    </w:pPr>
  </w:style>
  <w:style w:type="paragraph" w:styleId="Heading1">
    <w:name w:val="heading 1"/>
    <w:basedOn w:val="Normal"/>
    <w:next w:val="Normal"/>
    <w:link w:val="Heading1Char"/>
    <w:uiPriority w:val="9"/>
    <w:qFormat/>
    <w:rsid w:val="00107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C50"/>
    <w:pPr>
      <w:tabs>
        <w:tab w:val="center" w:pos="4680"/>
        <w:tab w:val="right" w:pos="9360"/>
      </w:tabs>
    </w:pPr>
  </w:style>
  <w:style w:type="character" w:customStyle="1" w:styleId="HeaderChar">
    <w:name w:val="Header Char"/>
    <w:basedOn w:val="DefaultParagraphFont"/>
    <w:link w:val="Header"/>
    <w:uiPriority w:val="99"/>
    <w:semiHidden/>
    <w:rsid w:val="00107C50"/>
  </w:style>
  <w:style w:type="paragraph" w:styleId="Footer">
    <w:name w:val="footer"/>
    <w:basedOn w:val="Normal"/>
    <w:link w:val="FooterChar"/>
    <w:uiPriority w:val="99"/>
    <w:semiHidden/>
    <w:unhideWhenUsed/>
    <w:rsid w:val="00107C50"/>
    <w:pPr>
      <w:tabs>
        <w:tab w:val="center" w:pos="4680"/>
        <w:tab w:val="right" w:pos="9360"/>
      </w:tabs>
    </w:pPr>
  </w:style>
  <w:style w:type="character" w:customStyle="1" w:styleId="FooterChar">
    <w:name w:val="Footer Char"/>
    <w:basedOn w:val="DefaultParagraphFont"/>
    <w:link w:val="Footer"/>
    <w:uiPriority w:val="99"/>
    <w:semiHidden/>
    <w:rsid w:val="00107C50"/>
  </w:style>
  <w:style w:type="table" w:styleId="TableGrid">
    <w:name w:val="Table Grid"/>
    <w:basedOn w:val="TableNormal"/>
    <w:uiPriority w:val="59"/>
    <w:rsid w:val="00107C5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07C5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2F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31-09.docx" TargetMode="External"/><Relationship Id="rId13" Type="http://schemas.openxmlformats.org/officeDocument/2006/relationships/hyperlink" Target="file:///h:\SJ%20Archive\2009\04-22-09.docx" TargetMode="External"/><Relationship Id="rId18" Type="http://schemas.openxmlformats.org/officeDocument/2006/relationships/hyperlink" Target="file:///p:\pprever\2009-10\3721_20090401.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HJ%20Archive\2009\03-24-09.docx" TargetMode="External"/><Relationship Id="rId12" Type="http://schemas.openxmlformats.org/officeDocument/2006/relationships/hyperlink" Target="file:///h:\SJ%20Archive\2009\04-14-09.docx" TargetMode="External"/><Relationship Id="rId17" Type="http://schemas.openxmlformats.org/officeDocument/2006/relationships/hyperlink" Target="file:///p:\pprever\2009-10\3721_20090331.docx" TargetMode="External"/><Relationship Id="rId2" Type="http://schemas.openxmlformats.org/officeDocument/2006/relationships/settings" Target="settings.xml"/><Relationship Id="rId16" Type="http://schemas.openxmlformats.org/officeDocument/2006/relationships/hyperlink" Target="file:///p:\pprever\2009-10\3721_20090324.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HJ%20Archive\2009\03-24-09.docx" TargetMode="External"/><Relationship Id="rId11" Type="http://schemas.openxmlformats.org/officeDocument/2006/relationships/hyperlink" Target="file:///h:\SJ%20Archive\2009\04-14-09.docx" TargetMode="External"/><Relationship Id="rId5" Type="http://schemas.openxmlformats.org/officeDocument/2006/relationships/endnotes" Target="endnotes.xml"/><Relationship Id="rId15" Type="http://schemas.openxmlformats.org/officeDocument/2006/relationships/hyperlink" Target="file:///h:\SJ%20Archive\2009\04-29-09.docx" TargetMode="External"/><Relationship Id="rId23" Type="http://schemas.openxmlformats.org/officeDocument/2006/relationships/theme" Target="theme/theme1.xml"/><Relationship Id="rId10" Type="http://schemas.openxmlformats.org/officeDocument/2006/relationships/hyperlink" Target="file:///h:\HJ%20Archive\2009\04-02-09.docx" TargetMode="External"/><Relationship Id="rId19" Type="http://schemas.openxmlformats.org/officeDocument/2006/relationships/hyperlink" Target="file:///p:\pprever\2009-10\3721_20090422.docx" TargetMode="External"/><Relationship Id="rId4" Type="http://schemas.openxmlformats.org/officeDocument/2006/relationships/footnotes" Target="footnotes.xml"/><Relationship Id="rId9" Type="http://schemas.openxmlformats.org/officeDocument/2006/relationships/hyperlink" Target="file:///h:\HJ%20Archive\2009\04-01-09.docx" TargetMode="External"/><Relationship Id="rId14" Type="http://schemas.openxmlformats.org/officeDocument/2006/relationships/hyperlink" Target="file:///h:\SJ%20Archive\2009\04-28-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771</Words>
  <Characters>4218</Characters>
  <Application>Microsoft Office Word</Application>
  <DocSecurity>0</DocSecurity>
  <Lines>136</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3721: Internal Revenue Code - South Carolina Legislature Online</dc:title>
  <dc:subject/>
  <dc:creator>ANGIE MORGAN</dc:creator>
  <cp:keywords/>
  <dc:description/>
  <cp:lastModifiedBy>N Cumfer</cp:lastModifiedBy>
  <cp:revision>6</cp:revision>
  <dcterms:created xsi:type="dcterms:W3CDTF">2009-06-19T17:30:00Z</dcterms:created>
  <dcterms:modified xsi:type="dcterms:W3CDTF">2014-11-24T16:11:00Z</dcterms:modified>
</cp:coreProperties>
</file>