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A62, R114, H3761</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Cooper</w:t>
      </w: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l:\council\bills\ms\7294ahb09.docx</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2009</w:t>
      </w: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Drug proceeds</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737E88">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44F68" w:rsidRDefault="00D44F68">
      <w:pPr>
        <w:widowControl w:val="0"/>
        <w:tabs>
          <w:tab w:val="center" w:pos="590"/>
          <w:tab w:val="center" w:pos="1440"/>
          <w:tab w:val="left" w:pos="1872"/>
          <w:tab w:val="left" w:pos="9187"/>
        </w:tabs>
        <w:rPr>
          <w:rFonts w:eastAsia="Times New Roman" w:cs="Times New Roman"/>
          <w:szCs w:val="20"/>
        </w:rPr>
      </w:pPr>
    </w:p>
    <w:p w:rsidR="00D44F68" w:rsidRDefault="00737E88">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Introduced and read first time </w:t>
      </w:r>
      <w:hyperlink r:id="rId6" w:history="1">
        <w:r w:rsidRPr="00B23164">
          <w:rPr>
            <w:rStyle w:val="Hyperlink"/>
            <w:rFonts w:cs="Times New Roman"/>
          </w:rPr>
          <w:t>HJ</w:t>
        </w:r>
      </w:hyperlink>
      <w:r>
        <w:rPr>
          <w:rFonts w:cs="Times New Roman"/>
        </w:rPr>
        <w:noBreakHyphen/>
        <w:t>10</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B23164">
          <w:rPr>
            <w:rStyle w:val="Hyperlink"/>
            <w:rFonts w:cs="Times New Roman"/>
          </w:rPr>
          <w:t>HJ</w:t>
        </w:r>
      </w:hyperlink>
      <w:r>
        <w:rPr>
          <w:rFonts w:cs="Times New Roman"/>
        </w:rPr>
        <w:noBreakHyphen/>
        <w:t>10</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t>
      </w:r>
      <w:r>
        <w:rPr>
          <w:rFonts w:cs="Times New Roman"/>
          <w:b/>
        </w:rPr>
        <w:t>Judiciary</w:t>
      </w:r>
      <w:r>
        <w:rPr>
          <w:rFonts w:cs="Times New Roman"/>
        </w:rPr>
        <w:t xml:space="preserve"> </w:t>
      </w:r>
      <w:hyperlink r:id="rId8" w:history="1">
        <w:r w:rsidRPr="00B23164">
          <w:rPr>
            <w:rStyle w:val="Hyperlink"/>
            <w:rFonts w:cs="Times New Roman"/>
          </w:rPr>
          <w:t>HJ</w:t>
        </w:r>
      </w:hyperlink>
      <w:r>
        <w:rPr>
          <w:rFonts w:cs="Times New Roman"/>
        </w:rPr>
        <w:noBreakHyphen/>
        <w:t>7</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Read second time </w:t>
      </w:r>
      <w:hyperlink r:id="rId9" w:history="1">
        <w:r w:rsidRPr="00B23164">
          <w:rPr>
            <w:rStyle w:val="Hyperlink"/>
            <w:rFonts w:cs="Times New Roman"/>
          </w:rPr>
          <w:t>HJ</w:t>
        </w:r>
      </w:hyperlink>
      <w:r>
        <w:rPr>
          <w:rFonts w:cs="Times New Roman"/>
        </w:rPr>
        <w:noBreakHyphen/>
        <w:t>26</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third time and sent to Senate </w:t>
      </w:r>
      <w:hyperlink r:id="rId10" w:history="1">
        <w:r w:rsidRPr="00B23164">
          <w:rPr>
            <w:rStyle w:val="Hyperlink"/>
            <w:rFonts w:cs="Times New Roman"/>
          </w:rPr>
          <w:t>HJ</w:t>
        </w:r>
      </w:hyperlink>
      <w:r>
        <w:rPr>
          <w:rFonts w:cs="Times New Roman"/>
        </w:rPr>
        <w:noBreakHyphen/>
        <w:t>21</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and read first time </w:t>
      </w:r>
      <w:hyperlink r:id="rId11" w:history="1">
        <w:r w:rsidRPr="00B23164">
          <w:rPr>
            <w:rStyle w:val="Hyperlink"/>
            <w:rFonts w:cs="Times New Roman"/>
          </w:rPr>
          <w:t>SJ</w:t>
        </w:r>
      </w:hyperlink>
      <w:r>
        <w:rPr>
          <w:rFonts w:cs="Times New Roman"/>
        </w:rPr>
        <w:noBreakHyphen/>
        <w:t>16</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2" w:history="1">
        <w:r w:rsidRPr="00B23164">
          <w:rPr>
            <w:rStyle w:val="Hyperlink"/>
            <w:rFonts w:cs="Times New Roman"/>
          </w:rPr>
          <w:t>SJ</w:t>
        </w:r>
      </w:hyperlink>
      <w:r>
        <w:rPr>
          <w:rFonts w:cs="Times New Roman"/>
        </w:rPr>
        <w:noBreakHyphen/>
        <w:t>16</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t>Referred to Subcommittee: Knotts (ch), Massey, Coleman</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13" w:history="1">
        <w:r w:rsidRPr="00B23164">
          <w:rPr>
            <w:rStyle w:val="Hyperlink"/>
            <w:rFonts w:cs="Times New Roman"/>
          </w:rPr>
          <w:t>SJ</w:t>
        </w:r>
      </w:hyperlink>
      <w:r>
        <w:rPr>
          <w:rFonts w:cs="Times New Roman"/>
        </w:rPr>
        <w:noBreakHyphen/>
        <w:t>18</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Committee Amendment Adopted </w:t>
      </w:r>
      <w:hyperlink r:id="rId14" w:history="1">
        <w:r w:rsidRPr="00B23164">
          <w:rPr>
            <w:rStyle w:val="Hyperlink"/>
            <w:rFonts w:cs="Times New Roman"/>
          </w:rPr>
          <w:t>SJ</w:t>
        </w:r>
      </w:hyperlink>
      <w:r>
        <w:rPr>
          <w:rFonts w:cs="Times New Roman"/>
        </w:rPr>
        <w:noBreakHyphen/>
        <w:t>27</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second time </w:t>
      </w:r>
      <w:hyperlink r:id="rId15" w:history="1">
        <w:r w:rsidRPr="00B23164">
          <w:rPr>
            <w:rStyle w:val="Hyperlink"/>
            <w:rFonts w:cs="Times New Roman"/>
          </w:rPr>
          <w:t>SJ</w:t>
        </w:r>
      </w:hyperlink>
      <w:r>
        <w:rPr>
          <w:rFonts w:cs="Times New Roman"/>
        </w:rPr>
        <w:noBreakHyphen/>
        <w:t>27</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Read third time and returned to House with amendments </w:t>
      </w:r>
      <w:hyperlink r:id="rId16" w:history="1">
        <w:r w:rsidRPr="00B23164">
          <w:rPr>
            <w:rStyle w:val="Hyperlink"/>
            <w:rFonts w:cs="Times New Roman"/>
          </w:rPr>
          <w:t>SJ</w:t>
        </w:r>
      </w:hyperlink>
      <w:r>
        <w:rPr>
          <w:rFonts w:cs="Times New Roman"/>
        </w:rPr>
        <w:noBreakHyphen/>
        <w:t>62</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Concurred in Senate amendment and enrolled </w:t>
      </w:r>
      <w:hyperlink r:id="rId17" w:history="1">
        <w:r w:rsidRPr="00B23164">
          <w:rPr>
            <w:rStyle w:val="Hyperlink"/>
            <w:rFonts w:cs="Times New Roman"/>
          </w:rPr>
          <w:t>HJ</w:t>
        </w:r>
      </w:hyperlink>
      <w:r>
        <w:rPr>
          <w:rFonts w:cs="Times New Roman"/>
        </w:rPr>
        <w:noBreakHyphen/>
        <w:t>46</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Roll call Yeas</w:t>
      </w:r>
      <w:r>
        <w:rPr>
          <w:rFonts w:cs="Times New Roman"/>
        </w:rPr>
        <w:noBreakHyphen/>
        <w:t>104  Nays</w:t>
      </w:r>
      <w:r>
        <w:rPr>
          <w:rFonts w:cs="Times New Roman"/>
        </w:rPr>
        <w:noBreakHyphen/>
        <w:t xml:space="preserve">0 </w:t>
      </w:r>
      <w:hyperlink r:id="rId18" w:history="1">
        <w:r w:rsidRPr="00B23164">
          <w:rPr>
            <w:rStyle w:val="Hyperlink"/>
            <w:rFonts w:cs="Times New Roman"/>
          </w:rPr>
          <w:t>HJ</w:t>
        </w:r>
      </w:hyperlink>
      <w:r>
        <w:rPr>
          <w:rFonts w:cs="Times New Roman"/>
        </w:rPr>
        <w:noBreakHyphen/>
        <w:t>46</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114</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06/03/09</w:t>
      </w:r>
    </w:p>
    <w:p w:rsidR="00D44F68" w:rsidRDefault="00737E88">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62</w:t>
      </w:r>
    </w:p>
    <w:p w:rsidR="00D44F68" w:rsidRDefault="00D44F68">
      <w:pPr>
        <w:widowControl w:val="0"/>
        <w:tabs>
          <w:tab w:val="right" w:pos="1008"/>
          <w:tab w:val="left" w:pos="1152"/>
          <w:tab w:val="left" w:pos="1872"/>
          <w:tab w:val="left" w:pos="9187"/>
        </w:tabs>
        <w:ind w:left="2088" w:hanging="2088"/>
        <w:rPr>
          <w:rFonts w:cs="Times New Roman"/>
        </w:rPr>
      </w:pPr>
    </w:p>
    <w:p w:rsidR="00D44F68" w:rsidRDefault="00D44F68">
      <w:pPr>
        <w:widowControl w:val="0"/>
        <w:tabs>
          <w:tab w:val="right" w:pos="1008"/>
          <w:tab w:val="left" w:pos="1152"/>
          <w:tab w:val="left" w:pos="1872"/>
          <w:tab w:val="left" w:pos="9187"/>
        </w:tabs>
        <w:ind w:left="2088" w:hanging="2088"/>
        <w:rPr>
          <w:rFonts w:eastAsia="Times New Roman" w:cs="Times New Roman"/>
          <w:szCs w:val="20"/>
        </w:rPr>
      </w:pPr>
    </w:p>
    <w:p w:rsidR="00D44F68" w:rsidRDefault="00737E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D44F68" w:rsidRDefault="00D44F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4F68" w:rsidRDefault="00FC2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737E88">
          <w:rPr>
            <w:rFonts w:eastAsia="Times New Roman" w:cs="Times New Roman"/>
            <w:color w:val="0000FF" w:themeColor="hyperlink"/>
            <w:szCs w:val="20"/>
            <w:u w:val="single"/>
          </w:rPr>
          <w:t>3/25/2009</w:t>
        </w:r>
      </w:hyperlink>
    </w:p>
    <w:p w:rsidR="00D44F68" w:rsidRDefault="00FC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37E88">
          <w:rPr>
            <w:rFonts w:eastAsia="Times New Roman" w:cs="Times New Roman"/>
            <w:color w:val="0000FF" w:themeColor="hyperlink"/>
            <w:szCs w:val="20"/>
            <w:u w:val="single"/>
          </w:rPr>
          <w:t>4/22/2009</w:t>
        </w:r>
      </w:hyperlink>
    </w:p>
    <w:p w:rsidR="00D44F68" w:rsidRDefault="00FC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37E88">
          <w:rPr>
            <w:rFonts w:eastAsia="Times New Roman" w:cs="Times New Roman"/>
            <w:color w:val="0000FF" w:themeColor="hyperlink"/>
            <w:szCs w:val="20"/>
            <w:u w:val="single"/>
          </w:rPr>
          <w:t>5/14/2009</w:t>
        </w:r>
      </w:hyperlink>
    </w:p>
    <w:p w:rsidR="00D44F68" w:rsidRDefault="00FC2C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37E88">
          <w:rPr>
            <w:rFonts w:eastAsia="Times New Roman" w:cs="Times New Roman"/>
            <w:color w:val="0000FF" w:themeColor="hyperlink"/>
            <w:szCs w:val="20"/>
            <w:u w:val="single"/>
          </w:rPr>
          <w:t>5/19/2009</w:t>
        </w:r>
      </w:hyperlink>
    </w:p>
    <w:p w:rsidR="00D44F68" w:rsidRDefault="00D4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44F68" w:rsidRDefault="00D4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44F68">
          <w:pgSz w:w="12240" w:h="15840" w:code="1"/>
          <w:pgMar w:top="1080" w:right="1440" w:bottom="1080" w:left="1440" w:header="720" w:footer="720" w:gutter="0"/>
          <w:pgNumType w:start="1"/>
          <w:cols w:space="720"/>
          <w:noEndnote/>
          <w:docGrid w:linePitch="360"/>
        </w:sect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(A62, R114, H3761)</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44</w:t>
      </w:r>
      <w:r>
        <w:rPr>
          <w:rFonts w:cs="Times New Roman"/>
          <w:b/>
        </w:rPr>
        <w:noBreakHyphen/>
        <w:t>53</w:t>
      </w:r>
      <w:r>
        <w:rPr>
          <w:rFonts w:cs="Times New Roman"/>
          <w:b/>
        </w:rPr>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Controlled substances, use of forfeited drug proceeds</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44</w:t>
      </w:r>
      <w:r>
        <w:rPr>
          <w:rFonts w:cs="Times New Roman"/>
        </w:rPr>
        <w:noBreakHyphen/>
        <w:t>53</w:t>
      </w:r>
      <w:r>
        <w:rPr>
          <w:rFonts w:cs="Times New Roman"/>
        </w:rPr>
        <w:noBreakHyphen/>
        <w:t>530(g) of the 1976 Code is amended to read:</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“(g)</w:t>
      </w:r>
      <w:r>
        <w:rPr>
          <w:rFonts w:cs="Times New Roman"/>
        </w:rPr>
        <w:tab/>
        <w:t>All forfeited monies and proceeds from the sale of forfeited property as defined in Section 44</w:t>
      </w:r>
      <w:r>
        <w:rPr>
          <w:rFonts w:cs="Times New Roman"/>
        </w:rPr>
        <w:noBreakHyphen/>
        <w:t>53</w:t>
      </w:r>
      <w:r>
        <w:rPr>
          <w:rFonts w:cs="Times New Roman"/>
        </w:rPr>
        <w:noBreakHyphen/>
        <w:t>520 must be retained by the governing body of the local law enforcement agency or prosecution agency and deposited in a separate, special account in the name of each appropriate agency.  These accounts may be drawn on and used only by the law enforcement agency or prosecution agency for which the account was established.  For law enforcement agencies, the accounts must be used for drug enforcement activities, or for drug or other law enforcement training or education.  For prosecution agencies, the accounts must be used in matters relating to the prosecution of drug offenses and litigation of drug</w:t>
      </w:r>
      <w:r>
        <w:rPr>
          <w:rFonts w:cs="Times New Roman"/>
        </w:rPr>
        <w:noBreakHyphen/>
        <w:t>related matters.</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These accounts must not be used to supplant operating funds in the current or future budgets.  Expenditures from these accounts for an item that would be a recurring expense must be approved by the governing body before purchase or, in the case of a state law enforcement agency or prosecution agency, approved as provided by law. </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 xml:space="preserve">In the case of a state law enforcement agency or state prosecution agency, monies and proceeds must be remitted to the State Treasurer who shall establish separate, special accounts as provided in this section for local agencies. </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All expenditures from these accounts must be documented, and the documentation made available for audit purposes and upon request by a person under the provisions of Chapter 4, Title 30, the Freedom of Information Act.”</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Savings clause</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9208A" w:rsidRDefault="00F9208A"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F9208A" w:rsidRDefault="00F9208A" w:rsidP="00F9208A">
      <w:pPr>
        <w:tabs>
          <w:tab w:val="left" w:pos="1440"/>
          <w:tab w:val="left" w:pos="1800"/>
          <w:tab w:val="left" w:pos="2880"/>
        </w:tabs>
        <w:rPr>
          <w:color w:val="000000" w:themeColor="text1"/>
        </w:rPr>
      </w:pPr>
    </w:p>
    <w:p w:rsidR="00F9208A" w:rsidRDefault="00F9208A" w:rsidP="00F9208A">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F9208A" w:rsidRDefault="00F9208A" w:rsidP="00F9208A">
      <w:pPr>
        <w:tabs>
          <w:tab w:val="left" w:pos="1440"/>
          <w:tab w:val="left" w:pos="1800"/>
          <w:tab w:val="left" w:pos="2880"/>
        </w:tabs>
        <w:rPr>
          <w:color w:val="000000" w:themeColor="text1"/>
        </w:rPr>
      </w:pPr>
    </w:p>
    <w:p w:rsidR="00F9208A" w:rsidRDefault="00F9208A" w:rsidP="00F9208A">
      <w:pPr>
        <w:tabs>
          <w:tab w:val="left" w:pos="1440"/>
          <w:tab w:val="left" w:pos="1800"/>
          <w:tab w:val="left" w:pos="2880"/>
        </w:tabs>
        <w:rPr>
          <w:color w:val="000000" w:themeColor="text1"/>
        </w:rPr>
      </w:pPr>
      <w:r>
        <w:rPr>
          <w:color w:val="000000" w:themeColor="text1"/>
        </w:rPr>
        <w:t xml:space="preserve">Became law without the signature of the Governor -- 6/3/09. </w:t>
      </w:r>
    </w:p>
    <w:p w:rsidR="00F9208A" w:rsidRDefault="00F9208A" w:rsidP="00F9208A">
      <w:pPr>
        <w:tabs>
          <w:tab w:val="left" w:pos="1440"/>
          <w:tab w:val="left" w:pos="1800"/>
          <w:tab w:val="left" w:pos="2880"/>
        </w:tabs>
        <w:jc w:val="center"/>
        <w:rPr>
          <w:color w:val="000000" w:themeColor="text1"/>
        </w:rPr>
      </w:pPr>
    </w:p>
    <w:p w:rsidR="00F9208A" w:rsidRDefault="00F9208A" w:rsidP="00F9208A">
      <w:pPr>
        <w:tabs>
          <w:tab w:val="left" w:pos="1440"/>
          <w:tab w:val="left" w:pos="1800"/>
          <w:tab w:val="left" w:pos="2880"/>
        </w:tabs>
        <w:jc w:val="center"/>
        <w:rPr>
          <w:color w:val="000000" w:themeColor="text1"/>
        </w:rPr>
      </w:pPr>
      <w:r>
        <w:rPr>
          <w:color w:val="000000" w:themeColor="text1"/>
        </w:rPr>
        <w:t>__________</w:t>
      </w:r>
    </w:p>
    <w:p w:rsidR="00D44F68" w:rsidRDefault="00D44F68" w:rsidP="00F92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44F68" w:rsidSect="00355CD6">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F68" w:rsidRDefault="00737E88">
      <w:r>
        <w:separator/>
      </w:r>
    </w:p>
  </w:endnote>
  <w:endnote w:type="continuationSeparator" w:id="0">
    <w:p w:rsidR="00D44F68" w:rsidRDefault="00737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D6" w:rsidRDefault="00737E88">
    <w:pPr>
      <w:pStyle w:val="Footer"/>
      <w:tabs>
        <w:tab w:val="clear" w:pos="4680"/>
        <w:tab w:val="clear" w:pos="9360"/>
        <w:tab w:val="center" w:pos="3168"/>
      </w:tabs>
      <w:spacing w:before="120"/>
    </w:pPr>
    <w:r>
      <w:tab/>
    </w:r>
    <w:r w:rsidR="008229EB">
      <w:fldChar w:fldCharType="begin"/>
    </w:r>
    <w:r>
      <w:instrText xml:space="preserve"> PAGE  \* MERGEFORMAT </w:instrText>
    </w:r>
    <w:r w:rsidR="008229EB">
      <w:fldChar w:fldCharType="separate"/>
    </w:r>
    <w:r w:rsidR="002B2976">
      <w:rPr>
        <w:noProof/>
      </w:rPr>
      <w:t>2</w:t>
    </w:r>
    <w:r w:rsidR="008229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CD6" w:rsidRDefault="00FC2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F68" w:rsidRDefault="00737E88">
      <w:r>
        <w:separator/>
      </w:r>
    </w:p>
  </w:footnote>
  <w:footnote w:type="continuationSeparator" w:id="0">
    <w:p w:rsidR="00D44F68" w:rsidRDefault="00737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761"/>
    <w:docVar w:name="ActSecretary" w:val="Sanders"/>
    <w:docVar w:name="ActSIdno" w:val="(790)  3761AHB09"/>
    <w:docVar w:name="clipname" w:val="3761AHB09"/>
    <w:docVar w:name="dvBillNumber" w:val="3761"/>
    <w:docVar w:name="dvBillNumberPrefix" w:val="H"/>
    <w:docVar w:name="dvOriginalBody" w:val="House"/>
    <w:docVar w:name="HOUSEACTFULLPATH" w:val="L:\COUNCIL\ACTS\3761AHB09.DOCX"/>
    <w:docVar w:name="OrigHOUSEBillNo" w:val="3761"/>
    <w:docVar w:name="WhatActtype" w:val="AN ACT"/>
  </w:docVars>
  <w:rsids>
    <w:rsidRoot w:val="00D44F68"/>
    <w:rsid w:val="002B2976"/>
    <w:rsid w:val="003769A2"/>
    <w:rsid w:val="003C7195"/>
    <w:rsid w:val="00737E88"/>
    <w:rsid w:val="008229EB"/>
    <w:rsid w:val="00920009"/>
    <w:rsid w:val="00B23164"/>
    <w:rsid w:val="00BA5685"/>
    <w:rsid w:val="00D44F68"/>
    <w:rsid w:val="00E54AA2"/>
    <w:rsid w:val="00F9208A"/>
    <w:rsid w:val="00FC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E13E66E9-D56C-40AC-A671-3BB0ABD9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F68"/>
    <w:pPr>
      <w:spacing w:before="0"/>
    </w:pPr>
  </w:style>
  <w:style w:type="paragraph" w:styleId="Heading1">
    <w:name w:val="heading 1"/>
    <w:basedOn w:val="Normal"/>
    <w:next w:val="Normal"/>
    <w:link w:val="Heading1Char"/>
    <w:uiPriority w:val="9"/>
    <w:qFormat/>
    <w:rsid w:val="00D44F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4F68"/>
    <w:pPr>
      <w:tabs>
        <w:tab w:val="center" w:pos="4680"/>
        <w:tab w:val="right" w:pos="9360"/>
      </w:tabs>
    </w:pPr>
  </w:style>
  <w:style w:type="character" w:customStyle="1" w:styleId="HeaderChar">
    <w:name w:val="Header Char"/>
    <w:basedOn w:val="DefaultParagraphFont"/>
    <w:link w:val="Header"/>
    <w:uiPriority w:val="99"/>
    <w:semiHidden/>
    <w:rsid w:val="00D44F68"/>
  </w:style>
  <w:style w:type="paragraph" w:styleId="Footer">
    <w:name w:val="footer"/>
    <w:basedOn w:val="Normal"/>
    <w:link w:val="FooterChar"/>
    <w:uiPriority w:val="99"/>
    <w:semiHidden/>
    <w:unhideWhenUsed/>
    <w:rsid w:val="00D44F68"/>
    <w:pPr>
      <w:tabs>
        <w:tab w:val="center" w:pos="4680"/>
        <w:tab w:val="right" w:pos="9360"/>
      </w:tabs>
    </w:pPr>
  </w:style>
  <w:style w:type="character" w:customStyle="1" w:styleId="FooterChar">
    <w:name w:val="Footer Char"/>
    <w:basedOn w:val="DefaultParagraphFont"/>
    <w:link w:val="Footer"/>
    <w:uiPriority w:val="99"/>
    <w:semiHidden/>
    <w:rsid w:val="00D44F68"/>
  </w:style>
  <w:style w:type="paragraph" w:styleId="BalloonText">
    <w:name w:val="Balloon Text"/>
    <w:basedOn w:val="Normal"/>
    <w:link w:val="BalloonTextChar"/>
    <w:uiPriority w:val="99"/>
    <w:semiHidden/>
    <w:unhideWhenUsed/>
    <w:rsid w:val="00D44F68"/>
    <w:rPr>
      <w:rFonts w:ascii="Tahoma" w:hAnsi="Tahoma" w:cs="Tahoma"/>
      <w:sz w:val="16"/>
      <w:szCs w:val="16"/>
    </w:rPr>
  </w:style>
  <w:style w:type="character" w:customStyle="1" w:styleId="BalloonTextChar">
    <w:name w:val="Balloon Text Char"/>
    <w:basedOn w:val="DefaultParagraphFont"/>
    <w:link w:val="BalloonText"/>
    <w:uiPriority w:val="99"/>
    <w:semiHidden/>
    <w:rsid w:val="00D44F68"/>
    <w:rPr>
      <w:rFonts w:ascii="Tahoma" w:hAnsi="Tahoma" w:cs="Tahoma"/>
      <w:sz w:val="16"/>
      <w:szCs w:val="16"/>
    </w:rPr>
  </w:style>
  <w:style w:type="table" w:styleId="TableGrid">
    <w:name w:val="Table Grid"/>
    <w:basedOn w:val="TableNormal"/>
    <w:uiPriority w:val="59"/>
    <w:rsid w:val="00D44F6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4F6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4A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SJ%20Archive\2009\05-14-09.docx" TargetMode="External"/><Relationship Id="rId18" Type="http://schemas.openxmlformats.org/officeDocument/2006/relationships/hyperlink" Target="file:///h:\HJ%20Archive\2009\05-21-09.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3761_20090514.docx" TargetMode="External"/><Relationship Id="rId7" Type="http://schemas.openxmlformats.org/officeDocument/2006/relationships/hyperlink" Target="file:///h:\HJ%20Archive\2009\03-25-09.docx" TargetMode="External"/><Relationship Id="rId12" Type="http://schemas.openxmlformats.org/officeDocument/2006/relationships/hyperlink" Target="file:///h:\SJ%20Archive\2009\04-30-09.docx" TargetMode="External"/><Relationship Id="rId17" Type="http://schemas.openxmlformats.org/officeDocument/2006/relationships/hyperlink" Target="file:///h:\HJ%20Archive\2009\05-21-09.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SJ%20Archive\2009\05-20-09.docx" TargetMode="External"/><Relationship Id="rId20" Type="http://schemas.openxmlformats.org/officeDocument/2006/relationships/hyperlink" Target="file:///p:\pprever\2009-10\3761_20090422.docx" TargetMode="External"/><Relationship Id="rId1" Type="http://schemas.openxmlformats.org/officeDocument/2006/relationships/styles" Target="styles.xml"/><Relationship Id="rId6" Type="http://schemas.openxmlformats.org/officeDocument/2006/relationships/hyperlink" Target="file:///h:\HJ%20Archive\2009\03-25-09.docx" TargetMode="External"/><Relationship Id="rId11" Type="http://schemas.openxmlformats.org/officeDocument/2006/relationships/hyperlink" Target="file:///h:\SJ%20Archive\2009\04-30-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Archive\2009\05-19-09.docx" TargetMode="External"/><Relationship Id="rId23" Type="http://schemas.openxmlformats.org/officeDocument/2006/relationships/footer" Target="footer1.xml"/><Relationship Id="rId10" Type="http://schemas.openxmlformats.org/officeDocument/2006/relationships/hyperlink" Target="file:///h:\HJ%20Archive\2009\04-29-09.docx" TargetMode="External"/><Relationship Id="rId19" Type="http://schemas.openxmlformats.org/officeDocument/2006/relationships/hyperlink" Target="file:///p:\pprever\2009-10\3761_20090325.docx" TargetMode="Externa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SJ%20Archive\2009\05-19-09.docx" TargetMode="External"/><Relationship Id="rId22" Type="http://schemas.openxmlformats.org/officeDocument/2006/relationships/hyperlink" Target="file:///p:\pprever\2009-10\3761_2009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704</Words>
  <Characters>3836</Characters>
  <Application>Microsoft Office Word</Application>
  <DocSecurity>0</DocSecurity>
  <Lines>117</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3761: Drug proceeds - South Carolina Legislature Online</dc:title>
  <dc:subject/>
  <dc:creator>SANDERSM</dc:creator>
  <cp:keywords/>
  <dc:description/>
  <cp:lastModifiedBy>N Cumfer</cp:lastModifiedBy>
  <cp:revision>6</cp:revision>
  <cp:lastPrinted>2009-05-21T16:40:00Z</cp:lastPrinted>
  <dcterms:created xsi:type="dcterms:W3CDTF">2009-08-04T15:16:00Z</dcterms:created>
  <dcterms:modified xsi:type="dcterms:W3CDTF">2014-11-24T16:12:00Z</dcterms:modified>
</cp:coreProperties>
</file>