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6B015C" w:rsidRDefault="006B0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A64, R117, H3804</w:t>
      </w:r>
    </w:p>
    <w:p w:rsidR="006B015C" w:rsidRDefault="006B0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6B015C" w:rsidRDefault="006B0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Bedingfield, Wylie, Cato, Allen, Bannister, Hamilton and Stringer</w:t>
      </w: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l:\council\bills\dka\3693dw09.docx</w:t>
      </w: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632</w:t>
      </w:r>
    </w:p>
    <w:p w:rsidR="006B015C" w:rsidRDefault="006B0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26, 2009</w:t>
      </w: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 2009</w:t>
      </w: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14, 2009</w:t>
      </w: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2009</w:t>
      </w: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6B015C" w:rsidRDefault="006B0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015C" w:rsidRDefault="00C22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Greenville County voting precincts</w:t>
      </w:r>
    </w:p>
    <w:p w:rsidR="006B015C" w:rsidRDefault="006B0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015C" w:rsidRDefault="006B0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015C" w:rsidRDefault="00C2275E">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6B015C" w:rsidRDefault="006B015C">
      <w:pPr>
        <w:widowControl w:val="0"/>
        <w:tabs>
          <w:tab w:val="center" w:pos="590"/>
          <w:tab w:val="center" w:pos="1440"/>
          <w:tab w:val="left" w:pos="1872"/>
          <w:tab w:val="left" w:pos="9187"/>
        </w:tabs>
        <w:rPr>
          <w:rFonts w:eastAsia="Times New Roman" w:cs="Times New Roman"/>
          <w:szCs w:val="20"/>
        </w:rPr>
      </w:pPr>
    </w:p>
    <w:p w:rsidR="006B015C" w:rsidRDefault="00C2275E">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t xml:space="preserve">Introduced, read first time, placed on calendar without reference </w:t>
      </w:r>
      <w:hyperlink r:id="rId6" w:history="1">
        <w:r w:rsidRPr="00F65C64">
          <w:rPr>
            <w:rStyle w:val="Hyperlink"/>
            <w:rFonts w:cs="Times New Roman"/>
          </w:rPr>
          <w:t>HJ</w:t>
        </w:r>
      </w:hyperlink>
      <w:r>
        <w:rPr>
          <w:rFonts w:cs="Times New Roman"/>
        </w:rPr>
        <w:noBreakHyphen/>
        <w:t>47</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Read second time </w:t>
      </w:r>
      <w:hyperlink r:id="rId7" w:history="1">
        <w:r w:rsidRPr="00F65C64">
          <w:rPr>
            <w:rStyle w:val="Hyperlink"/>
            <w:rFonts w:cs="Times New Roman"/>
          </w:rPr>
          <w:t>HJ</w:t>
        </w:r>
      </w:hyperlink>
      <w:r>
        <w:rPr>
          <w:rFonts w:cs="Times New Roman"/>
        </w:rPr>
        <w:noBreakHyphen/>
        <w:t>71</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Read third time and sent to Senate </w:t>
      </w:r>
      <w:hyperlink r:id="rId8" w:history="1">
        <w:r w:rsidRPr="00F65C64">
          <w:rPr>
            <w:rStyle w:val="Hyperlink"/>
            <w:rFonts w:cs="Times New Roman"/>
          </w:rPr>
          <w:t>HJ</w:t>
        </w:r>
      </w:hyperlink>
      <w:r>
        <w:rPr>
          <w:rFonts w:cs="Times New Roman"/>
        </w:rPr>
        <w:noBreakHyphen/>
        <w:t>32</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Introduced and read first time </w:t>
      </w:r>
      <w:hyperlink r:id="rId9" w:history="1">
        <w:r w:rsidRPr="00F65C64">
          <w:rPr>
            <w:rStyle w:val="Hyperlink"/>
            <w:rFonts w:cs="Times New Roman"/>
          </w:rPr>
          <w:t>SJ</w:t>
        </w:r>
      </w:hyperlink>
      <w:r>
        <w:rPr>
          <w:rFonts w:cs="Times New Roman"/>
        </w:rPr>
        <w:noBreakHyphen/>
        <w:t>14</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10" w:history="1">
        <w:r w:rsidRPr="00F65C64">
          <w:rPr>
            <w:rStyle w:val="Hyperlink"/>
            <w:rFonts w:cs="Times New Roman"/>
          </w:rPr>
          <w:t>SJ</w:t>
        </w:r>
      </w:hyperlink>
      <w:r>
        <w:rPr>
          <w:rFonts w:cs="Times New Roman"/>
        </w:rPr>
        <w:noBreakHyphen/>
        <w:t>14</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Recalled from Committee on </w:t>
      </w:r>
      <w:r>
        <w:rPr>
          <w:rFonts w:cs="Times New Roman"/>
          <w:b/>
        </w:rPr>
        <w:t>Judiciary</w:t>
      </w:r>
      <w:r>
        <w:rPr>
          <w:rFonts w:cs="Times New Roman"/>
        </w:rPr>
        <w:t xml:space="preserve"> </w:t>
      </w:r>
      <w:hyperlink r:id="rId11" w:history="1">
        <w:r w:rsidRPr="00F65C64">
          <w:rPr>
            <w:rStyle w:val="Hyperlink"/>
            <w:rFonts w:cs="Times New Roman"/>
          </w:rPr>
          <w:t>SJ</w:t>
        </w:r>
      </w:hyperlink>
      <w:r>
        <w:rPr>
          <w:rFonts w:cs="Times New Roman"/>
        </w:rPr>
        <w:noBreakHyphen/>
        <w:t>45</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Amended </w:t>
      </w:r>
      <w:hyperlink r:id="rId12" w:history="1">
        <w:r w:rsidRPr="00F65C64">
          <w:rPr>
            <w:rStyle w:val="Hyperlink"/>
            <w:rFonts w:cs="Times New Roman"/>
          </w:rPr>
          <w:t>SJ</w:t>
        </w:r>
      </w:hyperlink>
      <w:r>
        <w:rPr>
          <w:rFonts w:cs="Times New Roman"/>
        </w:rPr>
        <w:noBreakHyphen/>
        <w:t>45</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Read second time </w:t>
      </w:r>
      <w:hyperlink r:id="rId13" w:history="1">
        <w:r w:rsidRPr="00F65C64">
          <w:rPr>
            <w:rStyle w:val="Hyperlink"/>
            <w:rFonts w:cs="Times New Roman"/>
          </w:rPr>
          <w:t>SJ</w:t>
        </w:r>
      </w:hyperlink>
      <w:r>
        <w:rPr>
          <w:rFonts w:cs="Times New Roman"/>
        </w:rPr>
        <w:noBreakHyphen/>
        <w:t>45</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Read third time and returned to House with amendments </w:t>
      </w:r>
      <w:hyperlink r:id="rId14" w:history="1">
        <w:r w:rsidRPr="00F65C64">
          <w:rPr>
            <w:rStyle w:val="Hyperlink"/>
            <w:rFonts w:cs="Times New Roman"/>
          </w:rPr>
          <w:t>SJ</w:t>
        </w:r>
      </w:hyperlink>
      <w:r>
        <w:rPr>
          <w:rFonts w:cs="Times New Roman"/>
        </w:rPr>
        <w:noBreakHyphen/>
        <w:t>21</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Concurred in Senate amendment and enrolled </w:t>
      </w:r>
      <w:hyperlink r:id="rId15" w:history="1">
        <w:r w:rsidRPr="00F65C64">
          <w:rPr>
            <w:rStyle w:val="Hyperlink"/>
            <w:rFonts w:cs="Times New Roman"/>
          </w:rPr>
          <w:t>HJ</w:t>
        </w:r>
      </w:hyperlink>
      <w:r>
        <w:rPr>
          <w:rFonts w:cs="Times New Roman"/>
        </w:rPr>
        <w:noBreakHyphen/>
        <w:t>49</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Roll call Yeas</w:t>
      </w:r>
      <w:r>
        <w:rPr>
          <w:rFonts w:cs="Times New Roman"/>
        </w:rPr>
        <w:noBreakHyphen/>
        <w:t>21  Nays</w:t>
      </w:r>
      <w:r>
        <w:rPr>
          <w:rFonts w:cs="Times New Roman"/>
        </w:rPr>
        <w:noBreakHyphen/>
        <w:t xml:space="preserve">0 </w:t>
      </w:r>
      <w:hyperlink r:id="rId16" w:history="1">
        <w:r w:rsidRPr="00F65C64">
          <w:rPr>
            <w:rStyle w:val="Hyperlink"/>
            <w:rFonts w:cs="Times New Roman"/>
          </w:rPr>
          <w:t>HJ</w:t>
        </w:r>
      </w:hyperlink>
      <w:r>
        <w:rPr>
          <w:rFonts w:cs="Times New Roman"/>
        </w:rPr>
        <w:noBreakHyphen/>
        <w:t>50</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117</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See Act for Effective Date</w:t>
      </w:r>
    </w:p>
    <w:p w:rsidR="006B015C" w:rsidRDefault="00C2275E">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64</w:t>
      </w:r>
    </w:p>
    <w:p w:rsidR="006B015C" w:rsidRDefault="006B015C">
      <w:pPr>
        <w:widowControl w:val="0"/>
        <w:tabs>
          <w:tab w:val="right" w:pos="1008"/>
          <w:tab w:val="left" w:pos="1152"/>
          <w:tab w:val="left" w:pos="1872"/>
          <w:tab w:val="left" w:pos="9187"/>
        </w:tabs>
        <w:ind w:left="2088" w:hanging="2088"/>
        <w:rPr>
          <w:rFonts w:cs="Times New Roman"/>
        </w:rPr>
      </w:pPr>
    </w:p>
    <w:p w:rsidR="006B015C" w:rsidRDefault="006B015C">
      <w:pPr>
        <w:widowControl w:val="0"/>
        <w:tabs>
          <w:tab w:val="right" w:pos="1008"/>
          <w:tab w:val="left" w:pos="1152"/>
          <w:tab w:val="left" w:pos="1872"/>
          <w:tab w:val="left" w:pos="9187"/>
        </w:tabs>
        <w:ind w:left="2088" w:hanging="2088"/>
        <w:rPr>
          <w:rFonts w:eastAsia="Times New Roman" w:cs="Times New Roman"/>
          <w:szCs w:val="20"/>
        </w:rPr>
      </w:pPr>
    </w:p>
    <w:p w:rsidR="006B015C" w:rsidRDefault="00C227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6B015C" w:rsidRDefault="006B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B015C" w:rsidRDefault="001A0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C2275E">
          <w:rPr>
            <w:rFonts w:eastAsia="Times New Roman" w:cs="Times New Roman"/>
            <w:color w:val="0000FF" w:themeColor="hyperlink"/>
            <w:szCs w:val="20"/>
            <w:u w:val="single"/>
          </w:rPr>
          <w:t>3/26/2009</w:t>
        </w:r>
      </w:hyperlink>
    </w:p>
    <w:p w:rsidR="006B015C" w:rsidRDefault="001A0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C2275E">
          <w:rPr>
            <w:rFonts w:eastAsia="Times New Roman" w:cs="Times New Roman"/>
            <w:color w:val="0000FF" w:themeColor="hyperlink"/>
            <w:szCs w:val="20"/>
            <w:u w:val="single"/>
          </w:rPr>
          <w:t>3/26/2009-A</w:t>
        </w:r>
      </w:hyperlink>
    </w:p>
    <w:p w:rsidR="006B015C" w:rsidRDefault="001A0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C2275E">
          <w:rPr>
            <w:rFonts w:eastAsia="Times New Roman" w:cs="Times New Roman"/>
            <w:color w:val="0000FF" w:themeColor="hyperlink"/>
            <w:szCs w:val="20"/>
            <w:u w:val="single"/>
          </w:rPr>
          <w:t>5/14/2009</w:t>
        </w:r>
      </w:hyperlink>
    </w:p>
    <w:p w:rsidR="006B015C" w:rsidRDefault="006B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B015C" w:rsidRDefault="006B0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B015C">
          <w:pgSz w:w="12240" w:h="15840" w:code="1"/>
          <w:pgMar w:top="1080" w:right="1440" w:bottom="1080" w:left="1440" w:header="720" w:footer="720" w:gutter="0"/>
          <w:pgNumType w:start="1"/>
          <w:cols w:space="720"/>
          <w:noEndnote/>
          <w:docGrid w:linePitch="360"/>
        </w:sectPr>
      </w:pP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(A64, R117, H3804)</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bCs/>
        </w:rPr>
        <w:t>TO AMEND SECTION 7</w:t>
      </w:r>
      <w:r>
        <w:rPr>
          <w:rFonts w:cs="Times New Roman"/>
          <w:b/>
          <w:bCs/>
        </w:rPr>
        <w:noBreakHyphen/>
        <w:t>7</w:t>
      </w:r>
      <w:r>
        <w:rPr>
          <w:rFonts w:cs="Times New Roman"/>
          <w:b/>
          <w:bCs/>
        </w:rPr>
        <w:noBreakHyphen/>
        <w:t>280, AS AMENDED, CODE OF LAWS OF SOUTH CAROLINA, 1976, RELATING TO THE DESIGNATION OF VOTING PRECINCTS IN GREENVILLE COUNTY, SO AS TO REVISE AND RENAME CERTAIN VOTING PRECINCTS OF GREENVILLE COUNTY AND REDESIGNATE A MAP NUMBER FOR THE MAP ON WHICH LINES OF THESE PRECINCTS ARE DELINEATED AND MAINTAINED BY THE OFFICE OF RESEARCH AND STATISTICS OF THE STATE BUDGET AND CONTROL BOARD.</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Pr>
          <w:rFonts w:cs="Times New Roman"/>
        </w:rPr>
        <w:tab/>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Voting precincts, Greenville County, revised</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7</w:t>
      </w:r>
      <w:r>
        <w:rPr>
          <w:rFonts w:cs="Times New Roman"/>
        </w:rPr>
        <w:noBreakHyphen/>
        <w:t>7</w:t>
      </w:r>
      <w:r>
        <w:rPr>
          <w:rFonts w:cs="Times New Roman"/>
        </w:rPr>
        <w:noBreakHyphen/>
        <w:t>280 of the 1976 Code, as last amended by Act 245 of 2006, is further amended to read:</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7</w:t>
      </w:r>
      <w:r>
        <w:rPr>
          <w:rFonts w:cs="Times New Roman"/>
        </w:rPr>
        <w:noBreakHyphen/>
        <w:t>7</w:t>
      </w:r>
      <w:r>
        <w:rPr>
          <w:rFonts w:cs="Times New Roman"/>
        </w:rPr>
        <w:noBreakHyphen/>
        <w:t>280.</w:t>
      </w:r>
      <w:r>
        <w:rPr>
          <w:rFonts w:cs="Times New Roman"/>
        </w:rPr>
        <w:tab/>
        <w:t>(A)</w:t>
      </w:r>
      <w:r>
        <w:rPr>
          <w:rFonts w:cs="Times New Roman"/>
        </w:rPr>
        <w:tab/>
        <w:t>In Greenville County there are the following voting precincts:</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Aiken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Altamont Forest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Asheton Lakes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Avon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Baker Creek</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Belle Meade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Bells Crossing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Belmont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Berea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Boiling Springs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Botany Woods</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Bridge Fork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Brookglenn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Canebrake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Carolina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Castle Rock</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Chestnut Hills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Circle Creek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Clear Creek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Conestee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Darby Ridge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lastRenderedPageBreak/>
        <w:t xml:space="preserve">Del Norte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Devenger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Donaldson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Dove Tree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Dunklin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Eastside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Ebenezer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Edwards Forest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Enoree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Feaster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Fork Shoals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Fountain Inn 1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Fountain Inn 2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Fox Chase</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Frohawk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Furman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Gowensville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Granite Creek</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Graze Branch</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Greenbriar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1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3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4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5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6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7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8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10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14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16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17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18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19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20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21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22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23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24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25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26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27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28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Greenville 29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Grove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Hillcrest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Holly Tree</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Jennings Mill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Kilgore Farms</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Lakeview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Laurel Ridge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Leawood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Locust Hill</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Long Creek</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Maple Creek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Maridell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Mauldin 1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Mauldin 2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Mauldin 3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Mauldin 4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Mauldin 5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Mauldin 6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Mauldin 7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Mission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Monaview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Moore Creek</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Mountain Creek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Mountain View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Mt. Pleasant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Neely Farms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Northwood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Oakview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Oneal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Palmetto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Paris Mountain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Pebble Creek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Pelham Falls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Piedmont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Pineview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Poinsett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Raintree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Ranch Creek</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Reedy Fork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Riverside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Riverwalk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Rock Hill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Rocky Creek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Rolling Green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Royal Oaks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Saluda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Sandy Flat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Sevier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Silverleaf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Simpsonville 1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Simpsonville 2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Simpsonville 3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Simpsonville 4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Simpsonville 5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Simpsonville 6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Skyland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Slater Marietta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Southside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Sparrows Point</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Spring Forest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Standing Springs</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Stonehaven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Stone Valley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Suber Mill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Sugar Creek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Sulphur Springs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Sycamore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Tanglewood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Taylors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Thornblade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Tigerville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Timberlake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Trade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Travelers Rest 1</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Travelers Rest 2</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Tubbs Mountain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Tyger River</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Verdmont</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Wade Hampton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Walnut Springs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Ware Place</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Welcome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Wellington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Westcliffe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Westside </w:t>
      </w:r>
    </w:p>
    <w:p w:rsidR="00DD3CCB" w:rsidRDefault="00DD3CCB" w:rsidP="00DD3CC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Woodmont </w:t>
      </w:r>
    </w:p>
    <w:p w:rsidR="00DD3CCB" w:rsidRDefault="00DD3CCB" w:rsidP="00DD3CC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 xml:space="preserve">Woodruff Lakes.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The precinct lines defining the precincts in subsection (A) are as shown on maps filed with the Greenville County Board of Voter Registration as provided and maintained by the Office of Research and Statistics of the State Budget and Control Board designated as document P</w:t>
      </w:r>
      <w:r>
        <w:rPr>
          <w:rFonts w:cs="Times New Roman"/>
          <w:szCs w:val="24"/>
        </w:rPr>
        <w:noBreakHyphen/>
        <w:t>45</w:t>
      </w:r>
      <w:r>
        <w:rPr>
          <w:rFonts w:cs="Times New Roman"/>
          <w:szCs w:val="24"/>
        </w:rPr>
        <w:noBreakHyphen/>
        <w:t xml:space="preserve">09. </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(C)</w:t>
      </w:r>
      <w:r>
        <w:rPr>
          <w:rFonts w:cs="Times New Roman"/>
          <w:szCs w:val="24"/>
        </w:rPr>
        <w:tab/>
        <w:t>The polling places for the precincts provided in subsection (A) must be established by the Greenville County Board of Voter Registration and the Greenville County Election Commission with the approval of a majority of the members of the Greenville County Legislative Delegation.”</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3CCB" w:rsidRDefault="00DD3CCB"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 and is effective for all elections conducted after December 31, 2009.</w:t>
      </w:r>
    </w:p>
    <w:p w:rsidR="00DD3CCB" w:rsidRDefault="00DD3CCB" w:rsidP="00DD3CCB">
      <w:pPr>
        <w:tabs>
          <w:tab w:val="left" w:pos="1440"/>
          <w:tab w:val="left" w:pos="1800"/>
          <w:tab w:val="left" w:pos="2880"/>
        </w:tabs>
        <w:rPr>
          <w:color w:val="000000" w:themeColor="text1"/>
        </w:rPr>
      </w:pPr>
    </w:p>
    <w:p w:rsidR="00DD3CCB" w:rsidRDefault="00DD3CCB" w:rsidP="00DD3CCB">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DD3CCB" w:rsidRDefault="00DD3CCB" w:rsidP="00DD3CCB">
      <w:pPr>
        <w:tabs>
          <w:tab w:val="left" w:pos="1440"/>
          <w:tab w:val="left" w:pos="1800"/>
          <w:tab w:val="left" w:pos="2880"/>
        </w:tabs>
        <w:rPr>
          <w:color w:val="000000" w:themeColor="text1"/>
        </w:rPr>
      </w:pPr>
    </w:p>
    <w:p w:rsidR="00DD3CCB" w:rsidRDefault="00DD3CCB" w:rsidP="00DD3CCB">
      <w:pPr>
        <w:tabs>
          <w:tab w:val="left" w:pos="1440"/>
          <w:tab w:val="left" w:pos="1800"/>
          <w:tab w:val="left" w:pos="2880"/>
        </w:tabs>
        <w:rPr>
          <w:color w:val="000000" w:themeColor="text1"/>
        </w:rPr>
      </w:pPr>
      <w:r>
        <w:rPr>
          <w:color w:val="000000" w:themeColor="text1"/>
        </w:rPr>
        <w:t>Approved the 2</w:t>
      </w:r>
      <w:r w:rsidRPr="00175236">
        <w:rPr>
          <w:color w:val="000000" w:themeColor="text1"/>
          <w:vertAlign w:val="superscript"/>
        </w:rPr>
        <w:t>nd</w:t>
      </w:r>
      <w:r>
        <w:rPr>
          <w:color w:val="000000" w:themeColor="text1"/>
        </w:rPr>
        <w:t xml:space="preserve"> day of June, 2009. </w:t>
      </w:r>
    </w:p>
    <w:p w:rsidR="00DD3CCB" w:rsidRDefault="00DD3CCB" w:rsidP="00DD3CCB">
      <w:pPr>
        <w:tabs>
          <w:tab w:val="left" w:pos="1440"/>
          <w:tab w:val="left" w:pos="1800"/>
          <w:tab w:val="left" w:pos="2880"/>
        </w:tabs>
        <w:jc w:val="center"/>
        <w:rPr>
          <w:color w:val="000000" w:themeColor="text1"/>
        </w:rPr>
      </w:pPr>
    </w:p>
    <w:p w:rsidR="00DD3CCB" w:rsidRDefault="00DD3CCB" w:rsidP="00DD3CCB">
      <w:pPr>
        <w:tabs>
          <w:tab w:val="left" w:pos="1440"/>
          <w:tab w:val="left" w:pos="1800"/>
          <w:tab w:val="left" w:pos="2880"/>
        </w:tabs>
        <w:jc w:val="center"/>
        <w:rPr>
          <w:color w:val="000000" w:themeColor="text1"/>
        </w:rPr>
      </w:pPr>
      <w:r>
        <w:rPr>
          <w:color w:val="000000" w:themeColor="text1"/>
        </w:rPr>
        <w:t>__________</w:t>
      </w:r>
    </w:p>
    <w:p w:rsidR="006B015C" w:rsidRDefault="006B015C" w:rsidP="00DD3C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B015C" w:rsidSect="00FD6C36">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15C" w:rsidRDefault="00C2275E">
      <w:r>
        <w:separator/>
      </w:r>
    </w:p>
  </w:endnote>
  <w:endnote w:type="continuationSeparator" w:id="0">
    <w:p w:rsidR="006B015C" w:rsidRDefault="00C22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36" w:rsidRDefault="00C2275E">
    <w:pPr>
      <w:pStyle w:val="Footer"/>
      <w:tabs>
        <w:tab w:val="clear" w:pos="4680"/>
        <w:tab w:val="clear" w:pos="9360"/>
        <w:tab w:val="center" w:pos="3168"/>
      </w:tabs>
      <w:spacing w:before="120"/>
    </w:pPr>
    <w:r>
      <w:tab/>
    </w:r>
    <w:r w:rsidR="001762BE">
      <w:fldChar w:fldCharType="begin"/>
    </w:r>
    <w:r>
      <w:instrText xml:space="preserve"> PAGE  \* MERGEFORMAT </w:instrText>
    </w:r>
    <w:r w:rsidR="001762BE">
      <w:fldChar w:fldCharType="separate"/>
    </w:r>
    <w:r w:rsidR="00DD3CCB">
      <w:rPr>
        <w:noProof/>
      </w:rPr>
      <w:t>5</w:t>
    </w:r>
    <w:r w:rsidR="001762B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C36" w:rsidRDefault="001A0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15C" w:rsidRDefault="00C2275E">
      <w:r>
        <w:separator/>
      </w:r>
    </w:p>
  </w:footnote>
  <w:footnote w:type="continuationSeparator" w:id="0">
    <w:p w:rsidR="006B015C" w:rsidRDefault="00C22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804"/>
    <w:docVar w:name="ActSecretary" w:val="Pair"/>
    <w:docVar w:name="ActSIdno" w:val="(782)  3804DW09"/>
    <w:docVar w:name="clipname" w:val="3804DW09"/>
    <w:docVar w:name="dvBillNumber" w:val="3804"/>
    <w:docVar w:name="dvBillNumberPrefix" w:val="H"/>
    <w:docVar w:name="dvOriginalBody" w:val="House"/>
    <w:docVar w:name="HOUSEACTFULLPATH" w:val="L:\COUNCIL\ACTS\3804DW09.DOCX"/>
    <w:docVar w:name="OrigHOUSEBillNo" w:val="3804"/>
    <w:docVar w:name="WhatActtype" w:val="AN ACT"/>
  </w:docVars>
  <w:rsids>
    <w:rsidRoot w:val="006B015C"/>
    <w:rsid w:val="001762BE"/>
    <w:rsid w:val="001A0BCF"/>
    <w:rsid w:val="003C7006"/>
    <w:rsid w:val="006B015C"/>
    <w:rsid w:val="008C12C1"/>
    <w:rsid w:val="00913709"/>
    <w:rsid w:val="00C13C15"/>
    <w:rsid w:val="00C2275E"/>
    <w:rsid w:val="00D20D6B"/>
    <w:rsid w:val="00DD3CCB"/>
    <w:rsid w:val="00E85B52"/>
    <w:rsid w:val="00F6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0542C039-F782-4595-8CB7-36B8364D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15C"/>
    <w:pPr>
      <w:spacing w:before="0"/>
    </w:pPr>
  </w:style>
  <w:style w:type="paragraph" w:styleId="Heading1">
    <w:name w:val="heading 1"/>
    <w:basedOn w:val="Normal"/>
    <w:next w:val="Normal"/>
    <w:link w:val="Heading1Char"/>
    <w:uiPriority w:val="9"/>
    <w:qFormat/>
    <w:rsid w:val="006B01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015C"/>
    <w:pPr>
      <w:tabs>
        <w:tab w:val="center" w:pos="4680"/>
        <w:tab w:val="right" w:pos="9360"/>
      </w:tabs>
    </w:pPr>
  </w:style>
  <w:style w:type="character" w:customStyle="1" w:styleId="HeaderChar">
    <w:name w:val="Header Char"/>
    <w:basedOn w:val="DefaultParagraphFont"/>
    <w:link w:val="Header"/>
    <w:uiPriority w:val="99"/>
    <w:semiHidden/>
    <w:rsid w:val="006B015C"/>
  </w:style>
  <w:style w:type="paragraph" w:styleId="Footer">
    <w:name w:val="footer"/>
    <w:basedOn w:val="Normal"/>
    <w:link w:val="FooterChar"/>
    <w:uiPriority w:val="99"/>
    <w:semiHidden/>
    <w:unhideWhenUsed/>
    <w:rsid w:val="006B015C"/>
    <w:pPr>
      <w:tabs>
        <w:tab w:val="center" w:pos="4680"/>
        <w:tab w:val="right" w:pos="9360"/>
      </w:tabs>
    </w:pPr>
  </w:style>
  <w:style w:type="character" w:customStyle="1" w:styleId="FooterChar">
    <w:name w:val="Footer Char"/>
    <w:basedOn w:val="DefaultParagraphFont"/>
    <w:link w:val="Footer"/>
    <w:uiPriority w:val="99"/>
    <w:semiHidden/>
    <w:rsid w:val="006B015C"/>
  </w:style>
  <w:style w:type="table" w:styleId="TableGrid">
    <w:name w:val="Table Grid"/>
    <w:basedOn w:val="TableNormal"/>
    <w:uiPriority w:val="59"/>
    <w:rsid w:val="006B015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B015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13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01-09.docx" TargetMode="External"/><Relationship Id="rId13" Type="http://schemas.openxmlformats.org/officeDocument/2006/relationships/hyperlink" Target="file:///h:\SJ%20Archive\2009\05-14-09.docx" TargetMode="External"/><Relationship Id="rId18" Type="http://schemas.openxmlformats.org/officeDocument/2006/relationships/hyperlink" Target="file:///p:\pprever\2009-10\3804_20090326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HJ%20Archive\2009\03-31-09.docx" TargetMode="External"/><Relationship Id="rId12" Type="http://schemas.openxmlformats.org/officeDocument/2006/relationships/hyperlink" Target="file:///h:\SJ%20Archive\2009\05-14-09.docx" TargetMode="External"/><Relationship Id="rId17" Type="http://schemas.openxmlformats.org/officeDocument/2006/relationships/hyperlink" Target="file:///p:\pprever\2009-10\3804_20090326.docx" TargetMode="External"/><Relationship Id="rId2" Type="http://schemas.openxmlformats.org/officeDocument/2006/relationships/settings" Target="settings.xml"/><Relationship Id="rId16" Type="http://schemas.openxmlformats.org/officeDocument/2006/relationships/hyperlink" Target="file:///h:\HJ%20Archive\2009\05-20-09.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HJ%20Archive\2009\03-26-09.docx" TargetMode="External"/><Relationship Id="rId11" Type="http://schemas.openxmlformats.org/officeDocument/2006/relationships/hyperlink" Target="file:///h:\SJ%20Archive\2009\05-14-09.docx" TargetMode="External"/><Relationship Id="rId5" Type="http://schemas.openxmlformats.org/officeDocument/2006/relationships/endnotes" Target="endnotes.xml"/><Relationship Id="rId15" Type="http://schemas.openxmlformats.org/officeDocument/2006/relationships/hyperlink" Target="file:///h:\HJ%20Archive\2009\05-20-09.docx" TargetMode="External"/><Relationship Id="rId23" Type="http://schemas.openxmlformats.org/officeDocument/2006/relationships/theme" Target="theme/theme1.xml"/><Relationship Id="rId10" Type="http://schemas.openxmlformats.org/officeDocument/2006/relationships/hyperlink" Target="file:///h:\SJ%20Archive\2009\04-01-09.docx" TargetMode="External"/><Relationship Id="rId19" Type="http://schemas.openxmlformats.org/officeDocument/2006/relationships/hyperlink" Target="file:///p:\pprever\2009-10\3804_20090514.docx" TargetMode="External"/><Relationship Id="rId4" Type="http://schemas.openxmlformats.org/officeDocument/2006/relationships/footnotes" Target="footnotes.xml"/><Relationship Id="rId9" Type="http://schemas.openxmlformats.org/officeDocument/2006/relationships/hyperlink" Target="file:///h:\SJ%20Archive\2009\04-01-09.docx" TargetMode="External"/><Relationship Id="rId14" Type="http://schemas.openxmlformats.org/officeDocument/2006/relationships/hyperlink" Target="file:///h:\SJ%20Archive\2009\05-19-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703</Words>
  <Characters>3982</Characters>
  <Application>Microsoft Office Word</Application>
  <DocSecurity>0</DocSecurity>
  <Lines>242</Lines>
  <Paragraphs>199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3804: Greenville County voting precincts - South Carolina Legislature Online</dc:title>
  <dc:subject/>
  <dc:creator>SHARON PAIR</dc:creator>
  <cp:keywords/>
  <dc:description/>
  <cp:lastModifiedBy>N Cumfer</cp:lastModifiedBy>
  <cp:revision>6</cp:revision>
  <dcterms:created xsi:type="dcterms:W3CDTF">2009-08-04T15:17:00Z</dcterms:created>
  <dcterms:modified xsi:type="dcterms:W3CDTF">2014-11-24T16:13:00Z</dcterms:modified>
</cp:coreProperties>
</file>