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39</w:t>
      </w: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Ford</w:t>
      </w: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l:\council\bills\nbd\11042ac09.docx</w:t>
      </w: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Companion/Similar bill(s): 40, 73, 75, 76</w:t>
      </w: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Senate Committee on </w:t>
      </w:r>
      <w:r>
        <w:rPr>
          <w:rFonts w:cs="Times New Roman"/>
          <w:b/>
        </w:rPr>
        <w:t>Labor, Commerce and Industry</w:t>
      </w: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Lodging Establishment Act</w:t>
      </w: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478B0" w:rsidRDefault="009B47A7">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478B0" w:rsidRDefault="005478B0">
      <w:pPr>
        <w:widowControl w:val="0"/>
        <w:tabs>
          <w:tab w:val="center" w:pos="590"/>
          <w:tab w:val="center" w:pos="1440"/>
          <w:tab w:val="left" w:pos="1872"/>
          <w:tab w:val="left" w:pos="9187"/>
        </w:tabs>
        <w:jc w:val="left"/>
        <w:rPr>
          <w:rFonts w:cs="Times New Roman"/>
        </w:rPr>
      </w:pPr>
    </w:p>
    <w:p w:rsidR="005478B0" w:rsidRDefault="009B47A7">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478B0" w:rsidRDefault="009B47A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478B0" w:rsidRDefault="009B47A7">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Labor, Commerce and Industry</w:t>
      </w:r>
    </w:p>
    <w:p w:rsidR="005478B0" w:rsidRDefault="009B47A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A4B89">
          <w:rPr>
            <w:rStyle w:val="Hyperlink"/>
            <w:rFonts w:cs="Times New Roman"/>
          </w:rPr>
          <w:t>SJ</w:t>
        </w:r>
      </w:hyperlink>
      <w:r>
        <w:rPr>
          <w:rFonts w:cs="Times New Roman"/>
        </w:rPr>
        <w:noBreakHyphen/>
        <w:t>90</w:t>
      </w:r>
    </w:p>
    <w:p w:rsidR="005478B0" w:rsidRDefault="009B47A7">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Labor, Commerce and Industry</w:t>
      </w:r>
      <w:r>
        <w:rPr>
          <w:rFonts w:cs="Times New Roman"/>
        </w:rPr>
        <w:t xml:space="preserve"> </w:t>
      </w:r>
      <w:hyperlink r:id="rId7" w:history="1">
        <w:r w:rsidRPr="003A4B89">
          <w:rPr>
            <w:rStyle w:val="Hyperlink"/>
            <w:rFonts w:cs="Times New Roman"/>
          </w:rPr>
          <w:t>SJ</w:t>
        </w:r>
      </w:hyperlink>
      <w:r>
        <w:rPr>
          <w:rFonts w:cs="Times New Roman"/>
        </w:rPr>
        <w:noBreakHyphen/>
        <w:t>90</w:t>
      </w:r>
    </w:p>
    <w:p w:rsidR="005478B0" w:rsidRDefault="005478B0">
      <w:pPr>
        <w:widowControl w:val="0"/>
        <w:tabs>
          <w:tab w:val="right" w:pos="1008"/>
          <w:tab w:val="left" w:pos="1152"/>
          <w:tab w:val="left" w:pos="1872"/>
          <w:tab w:val="left" w:pos="9187"/>
        </w:tabs>
        <w:ind w:left="2088" w:hanging="2088"/>
        <w:jc w:val="left"/>
        <w:rPr>
          <w:rFonts w:cs="Times New Roman"/>
        </w:rPr>
      </w:pPr>
    </w:p>
    <w:p w:rsidR="005478B0" w:rsidRDefault="005478B0">
      <w:pPr>
        <w:widowControl w:val="0"/>
        <w:tabs>
          <w:tab w:val="right" w:pos="1008"/>
          <w:tab w:val="left" w:pos="1152"/>
          <w:tab w:val="left" w:pos="1872"/>
          <w:tab w:val="left" w:pos="9187"/>
        </w:tabs>
        <w:ind w:left="2088" w:hanging="2088"/>
        <w:jc w:val="left"/>
        <w:rPr>
          <w:rFonts w:cs="Times New Roman"/>
        </w:rPr>
      </w:pPr>
    </w:p>
    <w:p w:rsidR="005478B0" w:rsidRDefault="009B47A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5478B0" w:rsidRDefault="005478B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5478B0" w:rsidRDefault="00CF5EF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8" w:history="1">
        <w:r w:rsidR="009B47A7">
          <w:rPr>
            <w:rStyle w:val="Hyperlink"/>
            <w:rFonts w:cs="Times New Roman"/>
          </w:rPr>
          <w:t>12/10/2008</w:t>
        </w:r>
      </w:hyperlink>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478B0">
          <w:pgSz w:w="12240" w:h="15840" w:code="1"/>
          <w:pgMar w:top="1080" w:right="1440" w:bottom="1080" w:left="1440" w:header="720" w:footer="720" w:gutter="0"/>
          <w:cols w:space="720"/>
          <w:noEndnote/>
          <w:docGrid w:linePitch="360"/>
        </w:sect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SECTIONS 45</w:t>
      </w:r>
      <w:r>
        <w:rPr>
          <w:rFonts w:eastAsia="Times New Roman" w:cs="Times New Roman"/>
          <w:szCs w:val="20"/>
        </w:rPr>
        <w:noBreakHyphen/>
        <w:t>2</w:t>
      </w:r>
      <w:r>
        <w:rPr>
          <w:rFonts w:eastAsia="Times New Roman" w:cs="Times New Roman"/>
          <w:szCs w:val="20"/>
        </w:rPr>
        <w:noBreakHyphen/>
        <w:t>20, 45</w:t>
      </w:r>
      <w:r>
        <w:rPr>
          <w:rFonts w:eastAsia="Times New Roman" w:cs="Times New Roman"/>
          <w:szCs w:val="20"/>
        </w:rPr>
        <w:noBreakHyphen/>
        <w:t>2</w:t>
      </w:r>
      <w:r>
        <w:rPr>
          <w:rFonts w:eastAsia="Times New Roman" w:cs="Times New Roman"/>
          <w:szCs w:val="20"/>
        </w:rPr>
        <w:noBreakHyphen/>
        <w:t>30, AND 45</w:t>
      </w:r>
      <w:r>
        <w:rPr>
          <w:rFonts w:eastAsia="Times New Roman" w:cs="Times New Roman"/>
          <w:szCs w:val="20"/>
        </w:rPr>
        <w:noBreakHyphen/>
        <w:t>2</w:t>
      </w:r>
      <w:r>
        <w:rPr>
          <w:rFonts w:eastAsia="Times New Roman" w:cs="Times New Roman"/>
          <w:szCs w:val="20"/>
        </w:rPr>
        <w:noBreakHyphen/>
        <w:t>60, CODE OF LAWS OF SOUTH CAROLINA, 1976, RELATING TO PROHIBITING DISCRIMINATION PURSUANT TO THE LODGING ESTABLISHMENT ACT, CONCERNING HOTELS AND OTHER SLEEPING ACCOMMODATIONS, BECAUSE OF RACE, CREED, COLOR, NATIONAL ORIGIN, GENDER, DISABILITY, OR MARITAL STATUS, SO AS TO ALSO PROHIBIT SUCH DISCRIMINATION BECAUSE OF SEXUAL ORIENTATION OR GENDER IDENTITY AND TO DEFINE “SEXUAL ORIENTATION” AND “GENDER IDENTITY”; AND TO AMEND SECTION 45</w:t>
      </w:r>
      <w:r>
        <w:rPr>
          <w:rFonts w:eastAsia="Times New Roman" w:cs="Times New Roman"/>
          <w:szCs w:val="20"/>
        </w:rPr>
        <w:noBreakHyphen/>
        <w:t>9</w:t>
      </w:r>
      <w:r>
        <w:rPr>
          <w:rFonts w:eastAsia="Times New Roman" w:cs="Times New Roman"/>
          <w:szCs w:val="20"/>
        </w:rPr>
        <w:noBreakHyphen/>
        <w:t>10, RELATING TO PROHIBITING DISCRIMINATION IN THE FULL AND EQUAL ENJOYMENT OF THE GOODS, SERVICES, FACILITIES, PRIVILEGES, ADVANTAGES AND ACCOMMODATIONS OF ANY PLACE OF PUBLIC ACCOMMODATION BECAUSE OF RACE, COLOR, RELIGION, OR NATIONAL ORIGIN, SO AS TO PROHIBIT SUCH DISCRIMINATION BECAUSE OF SEXUAL ORIENTATION OR GENDER IDENTITY AND TO DEFINE “SEXUAL ORIENTATION” AND “GENDER IDENTITY”.</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20 of the 1976 Code, as added by Act 446 of 1994, is amended by adding appropriately numbered items to read:</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t>“</w:t>
      </w:r>
      <w:r>
        <w:rPr>
          <w:rFonts w:eastAsia="Times New Roman" w:cs="Times New Roman"/>
          <w:bCs/>
          <w:szCs w:val="20"/>
        </w:rPr>
        <w:t>(  )</w:t>
      </w:r>
      <w:r>
        <w:rPr>
          <w:rFonts w:eastAsia="Times New Roman" w:cs="Times New Roman"/>
          <w:bCs/>
          <w:szCs w:val="20"/>
        </w:rPr>
        <w:tab/>
        <w:t>‘Sexual orientation’ means heterosexuality, homosexuality, or bisexuality, whether actual or perceived.</w:t>
      </w: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bCs/>
          <w:szCs w:val="20"/>
        </w:rPr>
        <w:tab/>
        <w:t>(  )</w:t>
      </w:r>
      <w:r>
        <w:rPr>
          <w:rFonts w:eastAsia="Times New Roman" w:cs="Times New Roman"/>
          <w:bCs/>
          <w:szCs w:val="20"/>
        </w:rPr>
        <w:tab/>
        <w:t>‘Gender identity’ means a person’s self</w:t>
      </w:r>
      <w:r>
        <w:rPr>
          <w:rFonts w:eastAsia="Times New Roman" w:cs="Times New Roman"/>
          <w:bCs/>
          <w:szCs w:val="20"/>
        </w:rPr>
        <w:noBreakHyphen/>
        <w:t xml:space="preserve">perception, or perception of that person by another, of the person’s identity as a </w:t>
      </w:r>
      <w:r>
        <w:rPr>
          <w:rFonts w:eastAsia="Times New Roman" w:cs="Times New Roman"/>
          <w:bCs/>
          <w:szCs w:val="20"/>
        </w:rPr>
        <w:lastRenderedPageBreak/>
        <w:t>male or female based upon the person’s appearance, behavior, or physical characteristics that are in accord with or opposed to the person’s physical anatomy, chromosomal sex, or sex at birth.”</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30(B) of the 1976 Code, as added by Act 446 of 1994, is amended to read:</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innkeeper refusing or denying accommodations, facilities, or privileges of a lodging establishment for any of the reasons specified in items (1) through (5) of this section may not be determined liable in any civil or criminal action or for any fine or penalty based upon the refusal or denial, except that the accommodation, facilities, or privilege of a lodging establishment may not be refused or denied based upon a person’s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45</w:t>
      </w:r>
      <w:r>
        <w:rPr>
          <w:rFonts w:eastAsia="Times New Roman" w:cs="Times New Roman"/>
          <w:szCs w:val="20"/>
        </w:rPr>
        <w:noBreakHyphen/>
        <w:t>2</w:t>
      </w:r>
      <w:r>
        <w:rPr>
          <w:rFonts w:eastAsia="Times New Roman" w:cs="Times New Roman"/>
          <w:szCs w:val="20"/>
        </w:rPr>
        <w:noBreakHyphen/>
        <w:t>60(6) of the 1976 Code, as added by Act 446 of 1994, is amended to read:</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violation of a rule of the lodging establishment which is posted in a conspicuous place and manner in the lodging establishment in accordance with Section 45</w:t>
      </w:r>
      <w:r>
        <w:rPr>
          <w:rFonts w:eastAsia="Times New Roman" w:cs="Times New Roman"/>
          <w:szCs w:val="20"/>
        </w:rPr>
        <w:noBreakHyphen/>
        <w:t>2</w:t>
      </w:r>
      <w:r>
        <w:rPr>
          <w:rFonts w:eastAsia="Times New Roman" w:cs="Times New Roman"/>
          <w:szCs w:val="20"/>
        </w:rPr>
        <w:noBreakHyphen/>
        <w:t xml:space="preserve">70, but no rule may authorize the innkeeper to eject or to refuse or deny service or accommodations to a person because of race, creed, color, national origin, gender, </w:t>
      </w:r>
      <w:r>
        <w:rPr>
          <w:rFonts w:eastAsia="Times New Roman" w:cs="Times New Roman"/>
          <w:szCs w:val="20"/>
          <w:u w:val="single"/>
        </w:rPr>
        <w:t>sexual orientation, gender identity,</w:t>
      </w:r>
      <w:r>
        <w:rPr>
          <w:rFonts w:eastAsia="Times New Roman" w:cs="Times New Roman"/>
          <w:szCs w:val="20"/>
        </w:rPr>
        <w:t xml:space="preserve"> disability, or marital status.”</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45</w:t>
      </w:r>
      <w:r>
        <w:rPr>
          <w:rFonts w:eastAsia="Times New Roman" w:cs="Times New Roman"/>
          <w:szCs w:val="20"/>
        </w:rPr>
        <w:noBreakHyphen/>
        <w:t>9</w:t>
      </w:r>
      <w:r>
        <w:rPr>
          <w:rFonts w:eastAsia="Times New Roman" w:cs="Times New Roman"/>
          <w:szCs w:val="20"/>
        </w:rPr>
        <w:noBreakHyphen/>
        <w:t>10(A) of the 1976 Code, as added by Act 423 of 1990, is amended to read:</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ground of race, color, religion, </w:t>
      </w:r>
      <w:r>
        <w:rPr>
          <w:rFonts w:eastAsia="Times New Roman" w:cs="Times New Roman"/>
          <w:strike/>
          <w:szCs w:val="20"/>
        </w:rPr>
        <w:t>or</w:t>
      </w:r>
      <w:r>
        <w:rPr>
          <w:rFonts w:eastAsia="Times New Roman" w:cs="Times New Roman"/>
          <w:szCs w:val="20"/>
        </w:rPr>
        <w:t xml:space="preserve"> national origin</w:t>
      </w:r>
      <w:r>
        <w:rPr>
          <w:rFonts w:eastAsia="Times New Roman" w:cs="Times New Roman"/>
          <w:szCs w:val="20"/>
          <w:u w:val="single"/>
        </w:rPr>
        <w:t>, sexual orientation, or gender identity</w:t>
      </w:r>
      <w:r>
        <w:rPr>
          <w:rFonts w:eastAsia="Times New Roman" w:cs="Times New Roman"/>
          <w:szCs w:val="20"/>
        </w:rPr>
        <w:t>.”</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78B0" w:rsidRDefault="00547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This act takes effect upon approval by the Governor.</w:t>
      </w:r>
    </w:p>
    <w:p w:rsidR="005478B0" w:rsidRDefault="009B4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478B0" w:rsidSect="005478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8B0" w:rsidRDefault="009B47A7">
      <w:r>
        <w:separator/>
      </w:r>
    </w:p>
  </w:endnote>
  <w:endnote w:type="continuationSeparator" w:id="0">
    <w:p w:rsidR="005478B0" w:rsidRDefault="009B4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EFE634-0977-4D52-A8D1-0EF329E87070}"/>
    <w:embedBold r:id="rId2" w:fontKey="{6E2A5F91-39A7-4BA8-8B34-C04FC734CF72}"/>
  </w:font>
  <w:font w:name="Calibri">
    <w:panose1 w:val="020F0502020204030204"/>
    <w:charset w:val="00"/>
    <w:family w:val="swiss"/>
    <w:pitch w:val="variable"/>
    <w:sig w:usb0="E10002FF" w:usb1="4000ACFF" w:usb2="00000009" w:usb3="00000000" w:csb0="0000019F" w:csb1="00000000"/>
    <w:embedRegular r:id="rId3" w:fontKey="{3FA0C1CC-B17D-4A79-96B9-217B116DFF90}"/>
    <w:embedBold r:id="rId4" w:fontKey="{0690B095-C677-4613-AFF0-188A60CEB60D}"/>
  </w:font>
  <w:font w:name="Tahoma">
    <w:panose1 w:val="020B0604030504040204"/>
    <w:charset w:val="00"/>
    <w:family w:val="swiss"/>
    <w:pitch w:val="variable"/>
    <w:sig w:usb0="21002A87" w:usb1="80000000" w:usb2="00000008" w:usb3="00000000" w:csb0="000101FF" w:csb1="00000000"/>
    <w:embedRegular r:id="rId5" w:fontKey="{7EBB2A4B-E303-4346-9D4F-31F60F11A2F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57E751EE-4E6C-4C5A-904F-0EFB3750B0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8B0" w:rsidRDefault="009B47A7">
    <w:pPr>
      <w:pStyle w:val="Footer"/>
      <w:tabs>
        <w:tab w:val="clear" w:pos="4680"/>
        <w:tab w:val="clear" w:pos="9360"/>
        <w:tab w:val="center" w:pos="2995"/>
      </w:tabs>
      <w:spacing w:before="120"/>
    </w:pPr>
    <w:r>
      <w:t>[39]</w:t>
    </w:r>
    <w:r>
      <w:tab/>
    </w:r>
    <w:r w:rsidR="00CF5EF2">
      <w:fldChar w:fldCharType="begin"/>
    </w:r>
    <w:r w:rsidR="00CF5EF2">
      <w:instrText xml:space="preserve"> PAGE  \* MERGEFORMAT </w:instrText>
    </w:r>
    <w:r w:rsidR="00CF5EF2">
      <w:fldChar w:fldCharType="separate"/>
    </w:r>
    <w:r w:rsidR="00CF5EF2">
      <w:rPr>
        <w:noProof/>
      </w:rPr>
      <w:t>1</w:t>
    </w:r>
    <w:r w:rsidR="00CF5EF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8B0" w:rsidRDefault="009B47A7">
      <w:r>
        <w:separator/>
      </w:r>
    </w:p>
  </w:footnote>
  <w:footnote w:type="continuationSeparator" w:id="0">
    <w:p w:rsidR="005478B0" w:rsidRDefault="009B47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478B0"/>
    <w:rsid w:val="00043CC0"/>
    <w:rsid w:val="003A4B89"/>
    <w:rsid w:val="005478B0"/>
    <w:rsid w:val="009B47A7"/>
    <w:rsid w:val="00A216D6"/>
    <w:rsid w:val="00C50AF0"/>
    <w:rsid w:val="00CF5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4B656D-2A8B-471B-ACC7-C69BE107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78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478B0"/>
    <w:rPr>
      <w:szCs w:val="21"/>
    </w:rPr>
  </w:style>
  <w:style w:type="character" w:customStyle="1" w:styleId="PlainTextChar">
    <w:name w:val="Plain Text Char"/>
    <w:basedOn w:val="DefaultParagraphFont"/>
    <w:link w:val="PlainText"/>
    <w:uiPriority w:val="99"/>
    <w:rsid w:val="005478B0"/>
    <w:rPr>
      <w:szCs w:val="21"/>
    </w:rPr>
  </w:style>
  <w:style w:type="paragraph" w:styleId="BodyText">
    <w:name w:val="Body Text"/>
    <w:basedOn w:val="Normal"/>
    <w:link w:val="BodyTextChar"/>
    <w:uiPriority w:val="99"/>
    <w:locked/>
    <w:rsid w:val="005478B0"/>
  </w:style>
  <w:style w:type="character" w:customStyle="1" w:styleId="BodyTextChar">
    <w:name w:val="Body Text Char"/>
    <w:basedOn w:val="DefaultParagraphFont"/>
    <w:link w:val="BodyText"/>
    <w:uiPriority w:val="99"/>
    <w:rsid w:val="005478B0"/>
  </w:style>
  <w:style w:type="paragraph" w:styleId="BalloonText">
    <w:name w:val="Balloon Text"/>
    <w:next w:val="Normal"/>
    <w:link w:val="BalloonTextChar"/>
    <w:uiPriority w:val="99"/>
    <w:unhideWhenUsed/>
    <w:rsid w:val="005478B0"/>
    <w:rPr>
      <w:rFonts w:cs="Tahoma"/>
      <w:szCs w:val="16"/>
    </w:rPr>
  </w:style>
  <w:style w:type="character" w:customStyle="1" w:styleId="BalloonTextChar">
    <w:name w:val="Balloon Text Char"/>
    <w:basedOn w:val="DefaultParagraphFont"/>
    <w:link w:val="BalloonText"/>
    <w:uiPriority w:val="99"/>
    <w:rsid w:val="005478B0"/>
    <w:rPr>
      <w:rFonts w:cs="Tahoma"/>
      <w:szCs w:val="16"/>
    </w:rPr>
  </w:style>
  <w:style w:type="paragraph" w:styleId="NormalWeb">
    <w:name w:val="Normal (Web)"/>
    <w:basedOn w:val="Normal"/>
    <w:next w:val="Normal"/>
    <w:semiHidden/>
    <w:locked/>
    <w:rsid w:val="005478B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478B0"/>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478B0"/>
    <w:rPr>
      <w:rFonts w:eastAsia="Times New Roman" w:cs="Times New Roman"/>
      <w:szCs w:val="20"/>
    </w:rPr>
  </w:style>
  <w:style w:type="paragraph" w:styleId="Header">
    <w:name w:val="header"/>
    <w:basedOn w:val="Normal"/>
    <w:link w:val="HeaderChar"/>
    <w:uiPriority w:val="99"/>
    <w:semiHidden/>
    <w:unhideWhenUsed/>
    <w:locked/>
    <w:rsid w:val="005478B0"/>
    <w:pPr>
      <w:tabs>
        <w:tab w:val="center" w:pos="4680"/>
        <w:tab w:val="right" w:pos="9360"/>
      </w:tabs>
    </w:pPr>
  </w:style>
  <w:style w:type="character" w:customStyle="1" w:styleId="HeaderChar">
    <w:name w:val="Header Char"/>
    <w:basedOn w:val="DefaultParagraphFont"/>
    <w:link w:val="Header"/>
    <w:uiPriority w:val="99"/>
    <w:semiHidden/>
    <w:rsid w:val="005478B0"/>
  </w:style>
  <w:style w:type="character" w:styleId="LineNumber">
    <w:name w:val="line number"/>
    <w:basedOn w:val="DefaultParagraphFont"/>
    <w:uiPriority w:val="99"/>
    <w:semiHidden/>
    <w:unhideWhenUsed/>
    <w:locked/>
    <w:rsid w:val="005478B0"/>
  </w:style>
  <w:style w:type="character" w:styleId="Hyperlink">
    <w:name w:val="Hyperlink"/>
    <w:basedOn w:val="DefaultParagraphFont"/>
    <w:uiPriority w:val="99"/>
    <w:unhideWhenUsed/>
    <w:locked/>
    <w:rsid w:val="005478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827</Words>
  <Characters>4596</Characters>
  <Application>Microsoft Office Word</Application>
  <DocSecurity>0</DocSecurity>
  <Lines>140</Lines>
  <Paragraphs>35</Paragraphs>
  <ScaleCrop>false</ScaleCrop>
  <Company>Project Management</Company>
  <LinksUpToDate>false</LinksUpToDate>
  <CharactersWithSpaces>5400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 Lodging Establishment Act - South Carolina Legislature Online</dc:title>
  <dc:subject/>
  <dc:creator>NSC</dc:creator>
  <cp:keywords/>
  <dc:description/>
  <cp:lastModifiedBy>N Cumfer</cp:lastModifiedBy>
  <cp:revision>11</cp:revision>
  <dcterms:created xsi:type="dcterms:W3CDTF">2008-12-10T19:26:00Z</dcterms:created>
  <dcterms:modified xsi:type="dcterms:W3CDTF">2014-11-24T14:52:00Z</dcterms:modified>
</cp:coreProperties>
</file>