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D97" w:rsidRDefault="001D2409">
      <w:pPr>
        <w:widowControl w:val="0"/>
        <w:jc w:val="center"/>
      </w:pPr>
      <w:bookmarkStart w:id="0" w:name="_GoBack"/>
      <w:bookmarkEnd w:id="0"/>
      <w:r>
        <w:rPr>
          <w:b/>
        </w:rPr>
        <w:t>South Carolina General Assembly</w:t>
      </w:r>
    </w:p>
    <w:p w:rsidR="00816D97" w:rsidRDefault="001D2409">
      <w:pPr>
        <w:widowControl w:val="0"/>
        <w:jc w:val="center"/>
      </w:pPr>
      <w:r>
        <w:t>118th Session, 2009-2010</w:t>
      </w:r>
    </w:p>
    <w:p w:rsidR="00816D97" w:rsidRDefault="00816D97">
      <w:pPr>
        <w:widowControl w:val="0"/>
        <w:jc w:val="left"/>
      </w:pPr>
    </w:p>
    <w:p w:rsidR="00816D97" w:rsidRDefault="001D2409">
      <w:pPr>
        <w:widowControl w:val="0"/>
        <w:jc w:val="left"/>
        <w:rPr>
          <w:b/>
        </w:rPr>
      </w:pPr>
      <w:r>
        <w:rPr>
          <w:b/>
        </w:rPr>
        <w:t>H. 3965</w:t>
      </w:r>
    </w:p>
    <w:p w:rsidR="00816D97" w:rsidRDefault="00816D97">
      <w:pPr>
        <w:widowControl w:val="0"/>
        <w:jc w:val="left"/>
        <w:rPr>
          <w:b/>
        </w:rPr>
      </w:pPr>
    </w:p>
    <w:p w:rsidR="00816D97" w:rsidRDefault="001D2409">
      <w:pPr>
        <w:widowControl w:val="0"/>
        <w:jc w:val="left"/>
      </w:pPr>
      <w:r>
        <w:rPr>
          <w:b/>
        </w:rPr>
        <w:t>STATUS INFORMATION</w:t>
      </w:r>
    </w:p>
    <w:p w:rsidR="00816D97" w:rsidRDefault="00816D97">
      <w:pPr>
        <w:widowControl w:val="0"/>
        <w:jc w:val="left"/>
      </w:pPr>
    </w:p>
    <w:p w:rsidR="00816D97" w:rsidRDefault="001D2409">
      <w:pPr>
        <w:widowControl w:val="0"/>
        <w:jc w:val="left"/>
      </w:pPr>
      <w:r>
        <w:t>General Bill</w:t>
      </w:r>
    </w:p>
    <w:p w:rsidR="00816D97" w:rsidRDefault="001D2409">
      <w:pPr>
        <w:widowControl w:val="0"/>
        <w:jc w:val="left"/>
      </w:pPr>
      <w:r>
        <w:t>Sponsors: Rep. G.M. Smith</w:t>
      </w:r>
    </w:p>
    <w:p w:rsidR="00816D97" w:rsidRDefault="001D2409">
      <w:pPr>
        <w:widowControl w:val="0"/>
        <w:jc w:val="left"/>
      </w:pPr>
      <w:r>
        <w:t>Document Path: l:\council\bills\nbd\11091ac09.docx</w:t>
      </w:r>
    </w:p>
    <w:p w:rsidR="00816D97" w:rsidRDefault="00816D97">
      <w:pPr>
        <w:widowControl w:val="0"/>
        <w:jc w:val="left"/>
      </w:pPr>
    </w:p>
    <w:p w:rsidR="00816D97" w:rsidRDefault="001D2409">
      <w:pPr>
        <w:widowControl w:val="0"/>
        <w:jc w:val="left"/>
      </w:pPr>
      <w:r>
        <w:t>Introduced in the House on April 23, 2009</w:t>
      </w:r>
    </w:p>
    <w:p w:rsidR="00816D97" w:rsidRDefault="001D2409">
      <w:pPr>
        <w:widowControl w:val="0"/>
        <w:jc w:val="left"/>
      </w:pPr>
      <w:r>
        <w:t xml:space="preserve">Currently residing in the House Committee on </w:t>
      </w:r>
      <w:r>
        <w:rPr>
          <w:b/>
        </w:rPr>
        <w:t>Labor, Commerce and Industry</w:t>
      </w:r>
    </w:p>
    <w:p w:rsidR="00816D97" w:rsidRDefault="00816D97">
      <w:pPr>
        <w:widowControl w:val="0"/>
        <w:jc w:val="left"/>
      </w:pPr>
    </w:p>
    <w:p w:rsidR="00816D97" w:rsidRDefault="001D2409">
      <w:pPr>
        <w:widowControl w:val="0"/>
        <w:jc w:val="left"/>
      </w:pPr>
      <w:r>
        <w:t>Summary: Contractor regulation</w:t>
      </w:r>
    </w:p>
    <w:p w:rsidR="00816D97" w:rsidRDefault="00816D97">
      <w:pPr>
        <w:widowControl w:val="0"/>
        <w:jc w:val="left"/>
      </w:pPr>
    </w:p>
    <w:p w:rsidR="00816D97" w:rsidRDefault="00816D97">
      <w:pPr>
        <w:widowControl w:val="0"/>
        <w:jc w:val="left"/>
      </w:pPr>
    </w:p>
    <w:p w:rsidR="00816D97" w:rsidRDefault="001D2409">
      <w:pPr>
        <w:widowControl w:val="0"/>
        <w:tabs>
          <w:tab w:val="center" w:pos="590"/>
          <w:tab w:val="center" w:pos="1440"/>
          <w:tab w:val="left" w:pos="1872"/>
          <w:tab w:val="left" w:pos="9187"/>
        </w:tabs>
        <w:jc w:val="left"/>
      </w:pPr>
      <w:r>
        <w:rPr>
          <w:b/>
        </w:rPr>
        <w:t>HISTORY OF LEGISLATIVE ACTIONS</w:t>
      </w:r>
    </w:p>
    <w:p w:rsidR="00816D97" w:rsidRDefault="00816D97">
      <w:pPr>
        <w:widowControl w:val="0"/>
        <w:tabs>
          <w:tab w:val="center" w:pos="590"/>
          <w:tab w:val="center" w:pos="1440"/>
          <w:tab w:val="left" w:pos="1872"/>
          <w:tab w:val="left" w:pos="9187"/>
        </w:tabs>
        <w:jc w:val="left"/>
      </w:pPr>
    </w:p>
    <w:p w:rsidR="00816D97" w:rsidRDefault="001D240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16D97" w:rsidRDefault="001D2409">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367851">
          <w:rPr>
            <w:rStyle w:val="Hyperlink"/>
          </w:rPr>
          <w:t>HJ</w:t>
        </w:r>
      </w:hyperlink>
      <w:r>
        <w:noBreakHyphen/>
        <w:t>276</w:t>
      </w:r>
    </w:p>
    <w:p w:rsidR="00816D97" w:rsidRDefault="001D2409">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Labor, Commerce and Industry</w:t>
      </w:r>
      <w:r>
        <w:t xml:space="preserve"> </w:t>
      </w:r>
      <w:hyperlink r:id="rId8" w:history="1">
        <w:r w:rsidRPr="00367851">
          <w:rPr>
            <w:rStyle w:val="Hyperlink"/>
          </w:rPr>
          <w:t>HJ</w:t>
        </w:r>
      </w:hyperlink>
      <w:r>
        <w:noBreakHyphen/>
        <w:t>276</w:t>
      </w:r>
    </w:p>
    <w:p w:rsidR="00816D97" w:rsidRDefault="00816D97">
      <w:pPr>
        <w:widowControl w:val="0"/>
        <w:tabs>
          <w:tab w:val="right" w:pos="1008"/>
          <w:tab w:val="left" w:pos="1152"/>
          <w:tab w:val="left" w:pos="1872"/>
          <w:tab w:val="left" w:pos="9187"/>
        </w:tabs>
        <w:ind w:left="2088" w:hanging="2088"/>
        <w:jc w:val="left"/>
      </w:pPr>
    </w:p>
    <w:p w:rsidR="00816D97" w:rsidRDefault="00816D97">
      <w:pPr>
        <w:widowControl w:val="0"/>
        <w:tabs>
          <w:tab w:val="right" w:pos="1008"/>
          <w:tab w:val="left" w:pos="1152"/>
          <w:tab w:val="left" w:pos="1872"/>
          <w:tab w:val="left" w:pos="9187"/>
        </w:tabs>
        <w:ind w:left="2088" w:hanging="2088"/>
        <w:jc w:val="left"/>
      </w:pPr>
    </w:p>
    <w:p w:rsidR="00816D97" w:rsidRDefault="001D2409">
      <w:pPr>
        <w:widowControl w:val="0"/>
        <w:jc w:val="left"/>
      </w:pPr>
      <w:r>
        <w:rPr>
          <w:b/>
        </w:rPr>
        <w:t>VERSIONS OF THIS BILL</w:t>
      </w:r>
    </w:p>
    <w:p w:rsidR="00816D97" w:rsidRDefault="00816D97">
      <w:pPr>
        <w:widowControl w:val="0"/>
        <w:jc w:val="left"/>
      </w:pPr>
    </w:p>
    <w:p w:rsidR="00816D97" w:rsidRDefault="0069231D">
      <w:pPr>
        <w:widowControl w:val="0"/>
        <w:jc w:val="left"/>
      </w:pPr>
      <w:hyperlink r:id="rId9" w:history="1">
        <w:r w:rsidR="001D2409">
          <w:rPr>
            <w:rStyle w:val="Hyperlink"/>
          </w:rPr>
          <w:t>4/23/2009</w:t>
        </w:r>
      </w:hyperlink>
    </w:p>
    <w:p w:rsidR="00816D97" w:rsidRDefault="00816D97"/>
    <w:p w:rsidR="00816D97" w:rsidRDefault="00816D97">
      <w:pPr>
        <w:sectPr w:rsidR="00816D97">
          <w:pgSz w:w="12240" w:h="15840" w:code="1"/>
          <w:pgMar w:top="1080" w:right="1440" w:bottom="1080" w:left="1440" w:header="720" w:footer="720" w:gutter="0"/>
          <w:cols w:space="720"/>
          <w:noEndnote/>
          <w:docGrid w:linePitch="360"/>
        </w:sectPr>
      </w:pPr>
    </w:p>
    <w:p w:rsidR="00816D97" w:rsidRDefault="00816D97">
      <w:pPr>
        <w:pStyle w:val="BillDots"/>
      </w:pPr>
    </w:p>
    <w:p w:rsidR="00816D97" w:rsidRDefault="00816D97">
      <w:pPr>
        <w:pStyle w:val="Numbersforbills"/>
      </w:pP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11</w:t>
      </w:r>
      <w:r>
        <w:noBreakHyphen/>
        <w:t>170, CODE OF LAWS OF SOUTH CAROLINA, 1976, RELATING TO ASSESSING COSTS OF INVESTIGATION AND PROSECUTION OF A CASE AGAINST A PERSON FOUND IN VIOLATION OF CHAPTER 11, TITLE 40, WHICH PROVIDES FOR THE LICENSURE AND REGULATION OF CONTRACTORS, SO AS TO PROVIDE THAT THE DEPARTMENT MAY NOT ASSESS SUCH COSTS; TO AMEND SECTION 40</w:t>
      </w:r>
      <w:r>
        <w:noBreakHyphen/>
        <w:t>11</w:t>
      </w:r>
      <w:r>
        <w:noBreakHyphen/>
        <w:t>370, AS AMENDED, RELATING TO THE PROHIBITION AGAINST ENGAGING IN CONSTRUCTION IN A NAME OTHER THAN THE EXACT NAME THAT APPEARS ON THE ENTITY’S CONTRACTOR’S LICENSE AND PROHIBITING ENFORCEMENT OF A CONTRACT IF THE ENTITY ENTERED THE CONTRACT IN A NAME OTHER THAN THE NAME THAT APPEARS ON THE ENTITY’S LICENSE, SO AS TO PROVIDE THAT AN ENTITY MAY NOT ENGAGE IN CONSTRUCTION UNDER A NAME OR A LICENSE NUMBER OTHER THAN THAT WHICH APPEARS ON THE ENTITY’S LICENSE AND TO PROVIDE THAT AN ENTITY MAY ONLY ENFORCE A CONSTRUCTION CONTRACT IF THE ENTITY EITHER ENTERED THE CONTRACT IN THE NAME THAT APPEARS ON THE ENTITY’S LICENSE OR IF THE CONTRACT CONTAINED THE LICENSE NUMBER THAT APPEARS ON THE ENTITY’S LICENSE.</w:t>
      </w: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11</w:t>
      </w:r>
      <w:r>
        <w:noBreakHyphen/>
        <w:t>170 of the 1976 Code is amended to read:</w:t>
      </w: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11</w:t>
      </w:r>
      <w:r>
        <w:noBreakHyphen/>
        <w:t>170.</w:t>
      </w:r>
      <w:r>
        <w:tab/>
      </w:r>
      <w:r>
        <w:tab/>
      </w:r>
      <w:r>
        <w:rPr>
          <w:strike/>
        </w:rPr>
        <w:t>A</w:t>
      </w:r>
      <w:r>
        <w:t xml:space="preserve"> </w:t>
      </w:r>
      <w:r>
        <w:rPr>
          <w:u w:val="single"/>
        </w:rPr>
        <w:t>Notwithstanding the provisions of Chapter 1 or any other provision of law, the department may not assess a person costs associated with the investigation or prosecution, or both, of a case in which the</w:t>
      </w:r>
      <w:r>
        <w:t xml:space="preserve"> person </w:t>
      </w:r>
      <w:r>
        <w:rPr>
          <w:u w:val="single"/>
        </w:rPr>
        <w:t>is</w:t>
      </w:r>
      <w:r>
        <w:t xml:space="preserve"> found in violation of this chapter or regulations promulgated under this chapter </w:t>
      </w:r>
      <w:r>
        <w:rPr>
          <w:strike/>
        </w:rPr>
        <w:t>may be required to pay costs associated with the investigation and prosecution of the case in accordance with Section 40</w:t>
      </w:r>
      <w:r>
        <w:rPr>
          <w:strike/>
        </w:rPr>
        <w:noBreakHyphen/>
        <w:t>1</w:t>
      </w:r>
      <w:r>
        <w:rPr>
          <w:strike/>
        </w:rPr>
        <w:noBreakHyphen/>
        <w:t>170</w:t>
      </w:r>
      <w:r>
        <w:t>.”</w:t>
      </w: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11</w:t>
      </w:r>
      <w:r>
        <w:noBreakHyphen/>
        <w:t>370 of the 1976 Code, as amended by Act 32 of 2001, is further amended to read:</w:t>
      </w: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11</w:t>
      </w:r>
      <w:r>
        <w:noBreakHyphen/>
        <w:t>370.</w:t>
      </w:r>
      <w:r>
        <w:tab/>
      </w:r>
      <w:r>
        <w:tab/>
        <w:t>(A)</w:t>
      </w:r>
      <w:r>
        <w:tab/>
        <w:t xml:space="preserve">It is unlawful to use the term ‘licensed contractor’ or to perform or offer to perform general or mechanical construction without first obtaining a license as required by this chapter. </w:t>
      </w: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It is unlawful to engage in construction under a name </w:t>
      </w:r>
      <w:r>
        <w:rPr>
          <w:u w:val="single"/>
        </w:rPr>
        <w:t>or license number</w:t>
      </w:r>
      <w:r>
        <w:t xml:space="preserve"> other than the exact name</w:t>
      </w:r>
      <w:r>
        <w:rPr>
          <w:u w:val="single"/>
        </w:rPr>
        <w:t xml:space="preserve"> or exact license number</w:t>
      </w:r>
      <w:r>
        <w:t xml:space="preserve"> </w:t>
      </w:r>
      <w:r>
        <w:rPr>
          <w:strike/>
        </w:rPr>
        <w:t>which</w:t>
      </w:r>
      <w:r>
        <w:t xml:space="preserve"> </w:t>
      </w:r>
      <w:r>
        <w:rPr>
          <w:u w:val="single"/>
        </w:rPr>
        <w:t>that</w:t>
      </w:r>
      <w:r>
        <w:t xml:space="preserve"> appears on the license issued pursuant to this chapter. ‘Engaging in construction’ includes marketing, advertising, using site signs, and submitting contracts.  </w:t>
      </w:r>
      <w:r>
        <w:rPr>
          <w:u w:val="single"/>
        </w:rPr>
        <w:t>It is not a violation of</w:t>
      </w:r>
      <w:r>
        <w:t xml:space="preserve"> this </w:t>
      </w:r>
      <w:r>
        <w:rPr>
          <w:strike/>
        </w:rPr>
        <w:t>requirement does not include</w:t>
      </w:r>
      <w:r>
        <w:t xml:space="preserve"> </w:t>
      </w:r>
      <w:r>
        <w:rPr>
          <w:u w:val="single"/>
        </w:rPr>
        <w:t>subsection, so long as an advertisement is not misleading, if the advertisement:</w:t>
      </w:r>
      <w:r>
        <w:t xml:space="preserve"> </w:t>
      </w: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Pr>
          <w:strike/>
        </w:rPr>
        <w:t>advertising</w:t>
      </w:r>
      <w:r>
        <w:t xml:space="preserve"> on </w:t>
      </w:r>
      <w:r>
        <w:rPr>
          <w:strike/>
        </w:rPr>
        <w:t>vehicles</w:t>
      </w:r>
      <w:r>
        <w:t xml:space="preserve"> </w:t>
      </w:r>
      <w:r>
        <w:rPr>
          <w:u w:val="single"/>
        </w:rPr>
        <w:t>a vehicle</w:t>
      </w:r>
      <w:r>
        <w:rPr>
          <w:strike/>
        </w:rPr>
        <w:t>, which may use</w:t>
      </w:r>
      <w:r>
        <w:t xml:space="preserve"> </w:t>
      </w:r>
      <w:r>
        <w:rPr>
          <w:u w:val="single"/>
        </w:rPr>
        <w:t>uses</w:t>
      </w:r>
      <w:r>
        <w:t xml:space="preserve"> an abbreviated version of the license name </w:t>
      </w:r>
      <w:r>
        <w:rPr>
          <w:strike/>
        </w:rPr>
        <w:t>so long as the advertising is not misleading</w:t>
      </w:r>
      <w:r>
        <w:rPr>
          <w:u w:val="single"/>
        </w:rPr>
        <w:t>; or</w:t>
      </w: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substantially includes the name of the licensed person or entity</w:t>
      </w:r>
      <w:r>
        <w:t>.</w:t>
      </w: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Pr>
          <w:u w:val="single"/>
        </w:rPr>
        <w:t>(1)</w:t>
      </w:r>
      <w:r>
        <w:tab/>
        <w:t xml:space="preserve">An entity </w:t>
      </w:r>
      <w:r>
        <w:rPr>
          <w:strike/>
        </w:rPr>
        <w:t>which</w:t>
      </w:r>
      <w:r>
        <w:t xml:space="preserve"> </w:t>
      </w:r>
      <w:r>
        <w:rPr>
          <w:u w:val="single"/>
        </w:rPr>
        <w:t>that</w:t>
      </w:r>
      <w:r>
        <w:t xml:space="preserve"> does not have a valid license as required by this chapter may not bring an action either at law or in equity to enforce the provisions of a contract. </w:t>
      </w: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t xml:space="preserve">An entity </w:t>
      </w:r>
      <w:r>
        <w:rPr>
          <w:strike/>
        </w:rPr>
        <w:t>that enters into a contract to engage in construction in a name other than the name that appears on its license</w:t>
      </w:r>
      <w:r>
        <w:t xml:space="preserve"> </w:t>
      </w:r>
      <w:r>
        <w:rPr>
          <w:u w:val="single"/>
        </w:rPr>
        <w:t>licensed pursuant to this chapter</w:t>
      </w:r>
      <w:r>
        <w:t xml:space="preserve"> may </w:t>
      </w:r>
      <w:r>
        <w:rPr>
          <w:strike/>
        </w:rPr>
        <w:t>not</w:t>
      </w:r>
      <w:r>
        <w:t xml:space="preserve"> bring an action either at law or in equity to enforce the provisions of </w:t>
      </w:r>
      <w:r>
        <w:rPr>
          <w:strike/>
        </w:rPr>
        <w:t>the</w:t>
      </w:r>
      <w:r>
        <w:t xml:space="preserve"> </w:t>
      </w:r>
      <w:r>
        <w:rPr>
          <w:u w:val="single"/>
        </w:rPr>
        <w:t>a</w:t>
      </w:r>
      <w:r>
        <w:t xml:space="preserve"> contract </w:t>
      </w:r>
      <w:r>
        <w:rPr>
          <w:u w:val="single"/>
        </w:rPr>
        <w:t>to engage in construction only if either:</w:t>
      </w: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the entity entered into the contract in the name that appears on its license; or</w:t>
      </w: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tab/>
      </w:r>
      <w:r>
        <w:rPr>
          <w:u w:val="single"/>
        </w:rPr>
        <w:t>the contract contained the license number that appears on the entity’s license</w:t>
      </w:r>
      <w:r>
        <w:t>.”</w:t>
      </w:r>
    </w:p>
    <w:p w:rsidR="00816D97" w:rsidRDefault="0081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16D97" w:rsidRDefault="001D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6D97" w:rsidRDefault="00816D97">
      <w:pPr>
        <w:suppressAutoHyphens/>
      </w:pPr>
    </w:p>
    <w:sectPr w:rsidR="00816D97" w:rsidSect="00816D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D97" w:rsidRDefault="001D2409">
      <w:r>
        <w:separator/>
      </w:r>
    </w:p>
  </w:endnote>
  <w:endnote w:type="continuationSeparator" w:id="0">
    <w:p w:rsidR="00816D97" w:rsidRDefault="001D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4D0C66-C421-4C2C-94E5-FA0A3CF30964}"/>
    <w:embedBold r:id="rId2" w:fontKey="{C85101AE-E7DE-4491-AF1B-0B7F51B26E48}"/>
  </w:font>
  <w:font w:name="Calibri">
    <w:panose1 w:val="020F0502020204030204"/>
    <w:charset w:val="00"/>
    <w:family w:val="swiss"/>
    <w:pitch w:val="variable"/>
    <w:sig w:usb0="E10002FF" w:usb1="4000ACFF" w:usb2="00000009" w:usb3="00000000" w:csb0="0000019F" w:csb1="00000000"/>
    <w:embedRegular r:id="rId3" w:fontKey="{338D95CC-523B-4888-A344-6656F06CF975}"/>
  </w:font>
  <w:font w:name="Cambria">
    <w:panose1 w:val="02040503050406030204"/>
    <w:charset w:val="00"/>
    <w:family w:val="roman"/>
    <w:pitch w:val="variable"/>
    <w:sig w:usb0="E00002FF" w:usb1="400004FF" w:usb2="00000000" w:usb3="00000000" w:csb0="0000019F" w:csb1="00000000"/>
    <w:embedRegular r:id="rId4" w:fontKey="{D85F2C0B-1EAD-48C6-B931-7030E77C7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D97" w:rsidRDefault="001D2409">
    <w:pPr>
      <w:pStyle w:val="Footer"/>
      <w:tabs>
        <w:tab w:val="clear" w:pos="4680"/>
        <w:tab w:val="clear" w:pos="9360"/>
        <w:tab w:val="center" w:pos="2995"/>
      </w:tabs>
      <w:spacing w:before="120"/>
    </w:pPr>
    <w:r>
      <w:t>[3965]</w:t>
    </w:r>
    <w:r>
      <w:tab/>
    </w:r>
    <w:r w:rsidR="0069231D">
      <w:fldChar w:fldCharType="begin"/>
    </w:r>
    <w:r w:rsidR="0069231D">
      <w:instrText xml:space="preserve"> PAGE  \* MERGEFORMAT </w:instrText>
    </w:r>
    <w:r w:rsidR="0069231D">
      <w:fldChar w:fldCharType="separate"/>
    </w:r>
    <w:r w:rsidR="0069231D">
      <w:rPr>
        <w:noProof/>
      </w:rPr>
      <w:t>1</w:t>
    </w:r>
    <w:r w:rsidR="006923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D97" w:rsidRDefault="001D2409">
      <w:r>
        <w:separator/>
      </w:r>
    </w:p>
  </w:footnote>
  <w:footnote w:type="continuationSeparator" w:id="0">
    <w:p w:rsidR="00816D97" w:rsidRDefault="001D24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1AC09"/>
    <w:docVar w:name="CoverBillType" w:val="b"/>
    <w:docVar w:name="docpath" w:val="L:\Council\bills\NBD\11091AC09.DOCX"/>
    <w:docVar w:name="dvBillNumber" w:val="3965"/>
    <w:docVar w:name="dvBillNumberPrefix" w:val="H. "/>
    <w:docVar w:name="dvOriginalBody" w:val="House"/>
    <w:docVar w:name="dvSteno" w:val="NBD"/>
    <w:docVar w:name="NameofBody" w:val="h"/>
    <w:docVar w:name="vgroup2" w:val="Council"/>
  </w:docVars>
  <w:rsids>
    <w:rsidRoot w:val="00816D97"/>
    <w:rsid w:val="001D2409"/>
    <w:rsid w:val="00217F3C"/>
    <w:rsid w:val="00367851"/>
    <w:rsid w:val="0069231D"/>
    <w:rsid w:val="00816D97"/>
    <w:rsid w:val="00EA2C95"/>
    <w:rsid w:val="00FE3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B2215F-92CE-4813-A859-5AC06CF8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D9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6D9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D97"/>
    <w:rPr>
      <w:rFonts w:eastAsia="Times New Roman" w:cs="Times New Roman"/>
      <w:b/>
      <w:sz w:val="30"/>
      <w:szCs w:val="20"/>
    </w:rPr>
  </w:style>
  <w:style w:type="paragraph" w:styleId="Header">
    <w:name w:val="header"/>
    <w:basedOn w:val="Normal"/>
    <w:link w:val="HeaderChar"/>
    <w:uiPriority w:val="99"/>
    <w:semiHidden/>
    <w:unhideWhenUsed/>
    <w:rsid w:val="00816D97"/>
    <w:pPr>
      <w:tabs>
        <w:tab w:val="center" w:pos="4320"/>
        <w:tab w:val="right" w:pos="8640"/>
      </w:tabs>
    </w:pPr>
  </w:style>
  <w:style w:type="character" w:customStyle="1" w:styleId="HeaderChar">
    <w:name w:val="Header Char"/>
    <w:basedOn w:val="DefaultParagraphFont"/>
    <w:link w:val="Header"/>
    <w:uiPriority w:val="99"/>
    <w:semiHidden/>
    <w:rsid w:val="00816D97"/>
    <w:rPr>
      <w:rFonts w:eastAsia="Times New Roman" w:cs="Times New Roman"/>
      <w:szCs w:val="20"/>
    </w:rPr>
  </w:style>
  <w:style w:type="paragraph" w:styleId="Footer">
    <w:name w:val="footer"/>
    <w:basedOn w:val="Normal"/>
    <w:link w:val="FooterChar"/>
    <w:uiPriority w:val="99"/>
    <w:unhideWhenUsed/>
    <w:rsid w:val="00816D97"/>
    <w:pPr>
      <w:tabs>
        <w:tab w:val="center" w:pos="4680"/>
        <w:tab w:val="right" w:pos="9360"/>
      </w:tabs>
    </w:pPr>
  </w:style>
  <w:style w:type="character" w:customStyle="1" w:styleId="FooterChar">
    <w:name w:val="Footer Char"/>
    <w:basedOn w:val="DefaultParagraphFont"/>
    <w:link w:val="Footer"/>
    <w:uiPriority w:val="99"/>
    <w:rsid w:val="00816D97"/>
    <w:rPr>
      <w:rFonts w:eastAsia="Times New Roman" w:cs="Times New Roman"/>
      <w:szCs w:val="20"/>
    </w:rPr>
  </w:style>
  <w:style w:type="character" w:styleId="PageNumber">
    <w:name w:val="page number"/>
    <w:basedOn w:val="DefaultParagraphFont"/>
    <w:uiPriority w:val="99"/>
    <w:semiHidden/>
    <w:unhideWhenUsed/>
    <w:rsid w:val="00816D97"/>
  </w:style>
  <w:style w:type="character" w:styleId="LineNumber">
    <w:name w:val="line number"/>
    <w:basedOn w:val="DefaultParagraphFont"/>
    <w:uiPriority w:val="99"/>
    <w:semiHidden/>
    <w:unhideWhenUsed/>
    <w:rsid w:val="00816D97"/>
  </w:style>
  <w:style w:type="paragraph" w:customStyle="1" w:styleId="BillDots">
    <w:name w:val="Bill Dots"/>
    <w:basedOn w:val="Normal"/>
    <w:qFormat/>
    <w:rsid w:val="00816D9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6D97"/>
    <w:pPr>
      <w:tabs>
        <w:tab w:val="right" w:pos="5904"/>
      </w:tabs>
    </w:pPr>
  </w:style>
  <w:style w:type="character" w:styleId="Hyperlink">
    <w:name w:val="Hyperlink"/>
    <w:basedOn w:val="DefaultParagraphFont"/>
    <w:uiPriority w:val="99"/>
    <w:unhideWhenUsed/>
    <w:rsid w:val="00816D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65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A5620-2099-4277-A5F0-333C6FA9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644</Words>
  <Characters>3260</Characters>
  <Application>Microsoft Office Word</Application>
  <DocSecurity>0</DocSecurity>
  <Lines>113</Lines>
  <Paragraphs>32</Paragraphs>
  <ScaleCrop>false</ScaleCrop>
  <Company> </Company>
  <LinksUpToDate>false</LinksUpToDate>
  <CharactersWithSpaces>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3965: Contractor regulation - South Carolina Legislature Online</dc:title>
  <dc:subject/>
  <dc:creator>NIKI DOWNEY</dc:creator>
  <cp:keywords/>
  <dc:description/>
  <cp:lastModifiedBy>N Cumfer</cp:lastModifiedBy>
  <cp:revision>8</cp:revision>
  <cp:lastPrinted>2009-01-13T15:58:00Z</cp:lastPrinted>
  <dcterms:created xsi:type="dcterms:W3CDTF">2009-04-23T16:01:00Z</dcterms:created>
  <dcterms:modified xsi:type="dcterms:W3CDTF">2014-11-24T16:15:00Z</dcterms:modified>
</cp:coreProperties>
</file>