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3E2" w:rsidRDefault="00DF680B">
      <w:pPr>
        <w:widowControl w:val="0"/>
        <w:jc w:val="center"/>
        <w:rPr>
          <w:rFonts w:cs="Times New Roman"/>
        </w:rPr>
      </w:pPr>
      <w:bookmarkStart w:id="0" w:name="_GoBack"/>
      <w:bookmarkEnd w:id="0"/>
      <w:r>
        <w:rPr>
          <w:rFonts w:cs="Times New Roman"/>
          <w:b/>
        </w:rPr>
        <w:t>South Carolina General Assembly</w:t>
      </w:r>
    </w:p>
    <w:p w:rsidR="006643E2" w:rsidRDefault="00DF680B">
      <w:pPr>
        <w:widowControl w:val="0"/>
        <w:jc w:val="center"/>
        <w:rPr>
          <w:rFonts w:cs="Times New Roman"/>
        </w:rPr>
      </w:pPr>
      <w:r>
        <w:rPr>
          <w:rFonts w:cs="Times New Roman"/>
        </w:rPr>
        <w:t>118th Session, 2009-2010</w:t>
      </w:r>
    </w:p>
    <w:p w:rsidR="006643E2" w:rsidRDefault="006643E2">
      <w:pPr>
        <w:widowControl w:val="0"/>
        <w:jc w:val="left"/>
        <w:rPr>
          <w:rFonts w:cs="Times New Roman"/>
        </w:rPr>
      </w:pPr>
    </w:p>
    <w:p w:rsidR="006643E2" w:rsidRDefault="00DF680B">
      <w:pPr>
        <w:widowControl w:val="0"/>
        <w:jc w:val="left"/>
        <w:rPr>
          <w:rFonts w:cs="Times New Roman"/>
          <w:b/>
        </w:rPr>
      </w:pPr>
      <w:r>
        <w:rPr>
          <w:rFonts w:cs="Times New Roman"/>
          <w:b/>
        </w:rPr>
        <w:t>S. 6</w:t>
      </w:r>
    </w:p>
    <w:p w:rsidR="006643E2" w:rsidRDefault="006643E2">
      <w:pPr>
        <w:widowControl w:val="0"/>
        <w:jc w:val="left"/>
        <w:rPr>
          <w:rFonts w:cs="Times New Roman"/>
          <w:b/>
        </w:rPr>
      </w:pPr>
    </w:p>
    <w:p w:rsidR="006643E2" w:rsidRDefault="00DF680B">
      <w:pPr>
        <w:widowControl w:val="0"/>
        <w:jc w:val="left"/>
        <w:rPr>
          <w:rFonts w:cs="Times New Roman"/>
        </w:rPr>
      </w:pPr>
      <w:r>
        <w:rPr>
          <w:rFonts w:cs="Times New Roman"/>
          <w:b/>
        </w:rPr>
        <w:t>STATUS INFORMATION</w:t>
      </w:r>
    </w:p>
    <w:p w:rsidR="006643E2" w:rsidRDefault="006643E2">
      <w:pPr>
        <w:widowControl w:val="0"/>
        <w:jc w:val="left"/>
        <w:rPr>
          <w:rFonts w:cs="Times New Roman"/>
        </w:rPr>
      </w:pPr>
    </w:p>
    <w:p w:rsidR="006643E2" w:rsidRDefault="00DF680B">
      <w:pPr>
        <w:widowControl w:val="0"/>
        <w:jc w:val="left"/>
        <w:rPr>
          <w:rFonts w:cs="Times New Roman"/>
        </w:rPr>
      </w:pPr>
      <w:r>
        <w:rPr>
          <w:rFonts w:cs="Times New Roman"/>
        </w:rPr>
        <w:t>General Bill</w:t>
      </w:r>
    </w:p>
    <w:p w:rsidR="006643E2" w:rsidRDefault="00B43A32">
      <w:pPr>
        <w:widowControl w:val="0"/>
        <w:jc w:val="left"/>
        <w:rPr>
          <w:rFonts w:cs="Times New Roman"/>
        </w:rPr>
      </w:pPr>
      <w:r>
        <w:rPr>
          <w:rFonts w:cs="Times New Roman"/>
        </w:rPr>
        <w:t>Sponsors: Senators McConnell, Campsen, Rose, Elliott, Lourie and Bright</w:t>
      </w:r>
    </w:p>
    <w:p w:rsidR="006643E2" w:rsidRDefault="00DF680B">
      <w:pPr>
        <w:widowControl w:val="0"/>
        <w:jc w:val="left"/>
        <w:rPr>
          <w:rFonts w:cs="Times New Roman"/>
        </w:rPr>
      </w:pPr>
      <w:r>
        <w:rPr>
          <w:rFonts w:cs="Times New Roman"/>
        </w:rPr>
        <w:t>Document Path: l:\s-jud\bills\mcconnell\jud0017.kw.docx</w:t>
      </w:r>
    </w:p>
    <w:p w:rsidR="006643E2" w:rsidRDefault="006643E2">
      <w:pPr>
        <w:widowControl w:val="0"/>
        <w:jc w:val="left"/>
        <w:rPr>
          <w:rFonts w:cs="Times New Roman"/>
        </w:rPr>
      </w:pPr>
    </w:p>
    <w:p w:rsidR="006643E2" w:rsidRDefault="00DF680B">
      <w:pPr>
        <w:widowControl w:val="0"/>
        <w:jc w:val="left"/>
        <w:rPr>
          <w:rFonts w:cs="Times New Roman"/>
        </w:rPr>
      </w:pPr>
      <w:r>
        <w:rPr>
          <w:rFonts w:cs="Times New Roman"/>
        </w:rPr>
        <w:t>Introduced in the Senate on January 13, 2009</w:t>
      </w:r>
    </w:p>
    <w:p w:rsidR="006643E2" w:rsidRDefault="00DF680B">
      <w:pPr>
        <w:widowControl w:val="0"/>
        <w:jc w:val="left"/>
        <w:rPr>
          <w:rFonts w:cs="Times New Roman"/>
        </w:rPr>
      </w:pPr>
      <w:r>
        <w:rPr>
          <w:rFonts w:cs="Times New Roman"/>
        </w:rPr>
        <w:t xml:space="preserve">Currently residing in the Senate Committee on </w:t>
      </w:r>
      <w:r>
        <w:rPr>
          <w:rFonts w:cs="Times New Roman"/>
          <w:b/>
        </w:rPr>
        <w:t>Judiciary</w:t>
      </w:r>
    </w:p>
    <w:p w:rsidR="006643E2" w:rsidRDefault="006643E2">
      <w:pPr>
        <w:widowControl w:val="0"/>
        <w:jc w:val="left"/>
        <w:rPr>
          <w:rFonts w:cs="Times New Roman"/>
        </w:rPr>
      </w:pPr>
    </w:p>
    <w:p w:rsidR="006643E2" w:rsidRDefault="00DF680B">
      <w:pPr>
        <w:widowControl w:val="0"/>
        <w:jc w:val="left"/>
        <w:rPr>
          <w:rFonts w:cs="Times New Roman"/>
        </w:rPr>
      </w:pPr>
      <w:r>
        <w:rPr>
          <w:rFonts w:cs="Times New Roman"/>
        </w:rPr>
        <w:t>Summary: Conditions for release</w:t>
      </w:r>
    </w:p>
    <w:p w:rsidR="006643E2" w:rsidRDefault="006643E2">
      <w:pPr>
        <w:widowControl w:val="0"/>
        <w:jc w:val="left"/>
        <w:rPr>
          <w:rFonts w:cs="Times New Roman"/>
        </w:rPr>
      </w:pPr>
    </w:p>
    <w:p w:rsidR="006643E2" w:rsidRDefault="006643E2">
      <w:pPr>
        <w:widowControl w:val="0"/>
        <w:jc w:val="left"/>
        <w:rPr>
          <w:rFonts w:cs="Times New Roman"/>
        </w:rPr>
      </w:pPr>
    </w:p>
    <w:p w:rsidR="006643E2" w:rsidRDefault="00DF680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643E2" w:rsidRDefault="006643E2">
      <w:pPr>
        <w:widowControl w:val="0"/>
        <w:tabs>
          <w:tab w:val="center" w:pos="590"/>
          <w:tab w:val="center" w:pos="1440"/>
          <w:tab w:val="left" w:pos="1872"/>
          <w:tab w:val="left" w:pos="9187"/>
        </w:tabs>
        <w:jc w:val="left"/>
        <w:rPr>
          <w:rFonts w:cs="Times New Roman"/>
        </w:rPr>
      </w:pPr>
    </w:p>
    <w:p w:rsidR="006643E2" w:rsidRDefault="00DF680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643E2" w:rsidRDefault="00DF680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643E2" w:rsidRDefault="00DF680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6643E2" w:rsidRDefault="00DF680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16E1C">
          <w:rPr>
            <w:rStyle w:val="Hyperlink"/>
            <w:rFonts w:cs="Times New Roman"/>
          </w:rPr>
          <w:t>SJ</w:t>
        </w:r>
      </w:hyperlink>
      <w:r>
        <w:rPr>
          <w:rFonts w:cs="Times New Roman"/>
        </w:rPr>
        <w:noBreakHyphen/>
        <w:t>74</w:t>
      </w:r>
    </w:p>
    <w:p w:rsidR="006643E2" w:rsidRDefault="00DF680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16E1C">
          <w:rPr>
            <w:rStyle w:val="Hyperlink"/>
            <w:rFonts w:cs="Times New Roman"/>
          </w:rPr>
          <w:t>SJ</w:t>
        </w:r>
      </w:hyperlink>
      <w:r>
        <w:rPr>
          <w:rFonts w:cs="Times New Roman"/>
        </w:rPr>
        <w:noBreakHyphen/>
        <w:t>74</w:t>
      </w:r>
    </w:p>
    <w:p w:rsidR="006643E2" w:rsidRDefault="00DF680B">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t>Senate</w:t>
      </w:r>
      <w:r>
        <w:rPr>
          <w:rFonts w:cs="Times New Roman"/>
        </w:rPr>
        <w:tab/>
        <w:t>Referred to Subcommittee: Malloy (ch), Ford, Knotts, Rankin, Cleary</w:t>
      </w:r>
    </w:p>
    <w:p w:rsidR="006643E2" w:rsidRDefault="006643E2">
      <w:pPr>
        <w:widowControl w:val="0"/>
        <w:tabs>
          <w:tab w:val="right" w:pos="1008"/>
          <w:tab w:val="left" w:pos="1152"/>
          <w:tab w:val="left" w:pos="1872"/>
          <w:tab w:val="left" w:pos="9187"/>
        </w:tabs>
        <w:ind w:left="2088" w:hanging="2088"/>
        <w:jc w:val="left"/>
        <w:rPr>
          <w:rFonts w:cs="Times New Roman"/>
        </w:rPr>
      </w:pPr>
    </w:p>
    <w:p w:rsidR="006643E2" w:rsidRDefault="006643E2">
      <w:pPr>
        <w:widowControl w:val="0"/>
        <w:tabs>
          <w:tab w:val="right" w:pos="1008"/>
          <w:tab w:val="left" w:pos="1152"/>
          <w:tab w:val="left" w:pos="1872"/>
          <w:tab w:val="left" w:pos="9187"/>
        </w:tabs>
        <w:ind w:left="2088" w:hanging="2088"/>
        <w:jc w:val="left"/>
        <w:rPr>
          <w:rFonts w:cs="Times New Roman"/>
        </w:rPr>
      </w:pPr>
    </w:p>
    <w:p w:rsidR="006643E2" w:rsidRDefault="00DF680B">
      <w:pPr>
        <w:widowControl w:val="0"/>
        <w:jc w:val="left"/>
        <w:rPr>
          <w:rFonts w:cs="Times New Roman"/>
        </w:rPr>
      </w:pPr>
      <w:r>
        <w:rPr>
          <w:rFonts w:cs="Times New Roman"/>
          <w:b/>
        </w:rPr>
        <w:t>VERSIONS OF THIS BILL</w:t>
      </w:r>
    </w:p>
    <w:p w:rsidR="006643E2" w:rsidRDefault="006643E2">
      <w:pPr>
        <w:widowControl w:val="0"/>
        <w:jc w:val="left"/>
        <w:rPr>
          <w:rFonts w:cs="Times New Roman"/>
        </w:rPr>
      </w:pPr>
    </w:p>
    <w:p w:rsidR="006643E2" w:rsidRDefault="00385CBB">
      <w:pPr>
        <w:widowControl w:val="0"/>
        <w:jc w:val="left"/>
        <w:rPr>
          <w:rFonts w:cs="Times New Roman"/>
        </w:rPr>
      </w:pPr>
      <w:hyperlink r:id="rId8" w:history="1">
        <w:r w:rsidR="00DF680B">
          <w:rPr>
            <w:rStyle w:val="Hyperlink"/>
            <w:rFonts w:cs="Times New Roman"/>
          </w:rPr>
          <w:t>12/10/2008</w:t>
        </w:r>
      </w:hyperlink>
    </w:p>
    <w:p w:rsidR="006643E2" w:rsidRDefault="006643E2"/>
    <w:p w:rsidR="006643E2" w:rsidRDefault="006643E2">
      <w:pPr>
        <w:sectPr w:rsidR="006643E2">
          <w:pgSz w:w="12240" w:h="15840" w:code="1"/>
          <w:pgMar w:top="1080" w:right="1440" w:bottom="1080" w:left="1440" w:header="720" w:footer="720" w:gutter="0"/>
          <w:cols w:space="720"/>
          <w:noEndnote/>
          <w:docGrid w:linePitch="360"/>
        </w:sect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eastAsia="Calibri" w:cs="Times New Roman"/>
          <w:color w:val="000000"/>
        </w:rPr>
        <w:t>TO AMEND SECTION 17</w:t>
      </w:r>
      <w:r>
        <w:rPr>
          <w:rFonts w:cs="Times New Roman"/>
          <w:color w:val="000000"/>
        </w:rPr>
        <w:noBreakHyphen/>
      </w:r>
      <w:r>
        <w:rPr>
          <w:rFonts w:eastAsia="Calibri" w:cs="Times New Roman"/>
          <w:color w:val="000000"/>
        </w:rPr>
        <w:t>15</w:t>
      </w:r>
      <w:r>
        <w:rPr>
          <w:rFonts w:cs="Times New Roman"/>
          <w:color w:val="000000"/>
        </w:rPr>
        <w:noBreakHyphen/>
      </w:r>
      <w:r>
        <w:rPr>
          <w:rFonts w:eastAsia="Calibri" w:cs="Times New Roman"/>
          <w:color w:val="000000"/>
        </w:rPr>
        <w:t>30, CODE OF LAWS OF SOUTH CAROLINA, 1976, RELATING TO MATTERS TO BE CONSIDERED IN DETERMINING CONDITIONS OF RELEASE, SO AS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AMEND SECTION 22</w:t>
      </w:r>
      <w:r>
        <w:rPr>
          <w:rFonts w:cs="Times New Roman"/>
          <w:color w:val="000000"/>
        </w:rPr>
        <w:noBreakHyphen/>
      </w:r>
      <w:r>
        <w:rPr>
          <w:rFonts w:eastAsia="Calibri" w:cs="Times New Roman"/>
          <w:color w:val="000000"/>
        </w:rPr>
        <w:t>5</w:t>
      </w:r>
      <w:r>
        <w:rPr>
          <w:rFonts w:cs="Times New Roman"/>
          <w:color w:val="000000"/>
        </w:rPr>
        <w:noBreakHyphen/>
      </w:r>
      <w:r>
        <w:rPr>
          <w:rFonts w:eastAsia="Calibri" w:cs="Times New Roman"/>
          <w:color w:val="000000"/>
        </w:rPr>
        <w:t xml:space="preserve">510, RELATING TO BOND HEARINGS IN MAGISTRATES COURTS, SO AS TO REQUIRE THAT PENDING CHARGES AGAINST A PERSON REQUESTING BAIL SHALL BE CONSIDERED BY THE MAGISTRATE IN DETERMINING IF BAIL IS GRANTED OR DENIED.  </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1.</w:t>
      </w:r>
      <w:r>
        <w:rPr>
          <w:rFonts w:eastAsia="Times New Roman" w:cs="Times New Roman"/>
          <w:color w:val="000000"/>
        </w:rPr>
        <w:tab/>
        <w:t>Section 17</w:t>
      </w:r>
      <w:r>
        <w:rPr>
          <w:rFonts w:eastAsia="Times New Roman" w:cs="Times New Roman"/>
          <w:color w:val="000000"/>
        </w:rPr>
        <w:noBreakHyphen/>
        <w:t>15</w:t>
      </w:r>
      <w:r>
        <w:rPr>
          <w:rFonts w:eastAsia="Times New Roman" w:cs="Times New Roman"/>
          <w:color w:val="000000"/>
        </w:rPr>
        <w:noBreakHyphen/>
        <w:t>30 of the 1976 Code is amended to read:</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17</w:t>
      </w:r>
      <w:r>
        <w:rPr>
          <w:rFonts w:eastAsia="Times New Roman" w:cs="Times New Roman"/>
          <w:color w:val="000000"/>
        </w:rPr>
        <w:noBreakHyphen/>
        <w:t>15</w:t>
      </w:r>
      <w:r>
        <w:rPr>
          <w:rFonts w:eastAsia="Times New Roman" w:cs="Times New Roman"/>
          <w:color w:val="000000"/>
        </w:rPr>
        <w:noBreakHyphen/>
        <w:t>30.</w:t>
      </w:r>
      <w:r>
        <w:rPr>
          <w:rFonts w:eastAsia="Times New Roman" w:cs="Times New Roman"/>
          <w:color w:val="000000"/>
        </w:rPr>
        <w:tab/>
        <w:t>(A)</w:t>
      </w:r>
      <w:r>
        <w:rPr>
          <w:rFonts w:eastAsia="Times New Roman" w:cs="Times New Roman"/>
          <w:color w:val="000000"/>
        </w:rPr>
        <w:tab/>
        <w:t xml:space="preserve">In determining conditions of release that will reasonably assure appearance, or if release would constitute an unreasonable danger to </w:t>
      </w:r>
      <w:r>
        <w:rPr>
          <w:rFonts w:eastAsia="Times New Roman" w:cs="Times New Roman"/>
          <w:color w:val="000000"/>
          <w:u w:val="single"/>
        </w:rPr>
        <w:t>any other person or</w:t>
      </w:r>
      <w:r>
        <w:rPr>
          <w:rFonts w:eastAsia="Times New Roman" w:cs="Times New Roman"/>
          <w:color w:val="000000"/>
        </w:rPr>
        <w:t xml:space="preserve"> the community, the court may, on the basis of available information, consider the nature and circumstances of the offense charged, the accused’s family ties, employment, financial resources, character and mental condition, the length of his residence in the </w:t>
      </w:r>
      <w:r>
        <w:rPr>
          <w:rFonts w:eastAsia="Times New Roman" w:cs="Times New Roman"/>
          <w:color w:val="000000"/>
        </w:rPr>
        <w:lastRenderedPageBreak/>
        <w:t xml:space="preserve">community, his record of convictions, and his record of flight to avoid prosecution or failure to appear at other court proceedings. </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rPr>
      </w:pPr>
      <w:r>
        <w:rPr>
          <w:rFonts w:eastAsia="Times New Roman" w:cs="Times New Roman"/>
          <w:color w:val="000000"/>
        </w:rPr>
        <w:tab/>
      </w:r>
      <w:r>
        <w:rPr>
          <w:rFonts w:eastAsia="Times New Roman" w:cs="Times New Roman"/>
        </w:rPr>
        <w:t>(B)</w:t>
      </w:r>
      <w:r>
        <w:rPr>
          <w:rFonts w:eastAsia="Times New Roman" w:cs="Times New Roman"/>
        </w:rPr>
        <w:tab/>
        <w:t>The court shall consider</w:t>
      </w:r>
      <w:r>
        <w:rPr>
          <w:rFonts w:eastAsia="Times New Roman" w:cs="Times New Roman"/>
          <w:u w:val="single"/>
        </w:rPr>
        <w:t>:</w:t>
      </w:r>
      <w:r>
        <w:rPr>
          <w:rFonts w:eastAsia="Times New Roman" w:cs="Times New Roman"/>
        </w:rPr>
        <w:t xml:space="preserve"> </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(1)</w:t>
      </w:r>
      <w:r>
        <w:rPr>
          <w:rFonts w:eastAsia="Times New Roman" w:cs="Times New Roman"/>
        </w:rPr>
        <w:tab/>
        <w:t>the accused’s criminal record, if any</w:t>
      </w:r>
      <w:r>
        <w:rPr>
          <w:rFonts w:eastAsia="Times New Roman" w:cs="Times New Roman"/>
          <w:u w:val="single"/>
        </w:rPr>
        <w:t>, including, but not limited to, any charges pending against the accused at the time release is requested;</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strike/>
        </w:rPr>
        <w:t>The court shall consider, if available,</w:t>
      </w:r>
      <w:r>
        <w:rPr>
          <w:rFonts w:eastAsia="Times New Roman" w:cs="Times New Roman"/>
        </w:rPr>
        <w:t xml:space="preserve"> all incident reports generated as a result of the offense charged</w:t>
      </w:r>
      <w:r>
        <w:rPr>
          <w:rFonts w:eastAsia="Times New Roman" w:cs="Times New Roman"/>
          <w:u w:val="single"/>
        </w:rPr>
        <w:t>, if available; and</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whether the accused is not lawfully present in the United States in violation of the Federal Immigration and Nationality Act or another federal law relating to illegal immigration and poses a substantial flight risk due to this status</w:t>
      </w:r>
      <w:r>
        <w:rPr>
          <w:rFonts w:eastAsia="Times New Roman" w:cs="Times New Roman"/>
        </w:rPr>
        <w:t>.</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(C)</w:t>
      </w:r>
      <w:r>
        <w:rPr>
          <w:rFonts w:eastAsia="Times New Roman" w:cs="Times New Roman"/>
          <w:color w:val="000000"/>
        </w:rPr>
        <w:tab/>
      </w:r>
      <w:r>
        <w:rPr>
          <w:rFonts w:eastAsia="Times New Roman" w:cs="Times New Roman"/>
          <w:color w:val="000000"/>
          <w:u w:val="single"/>
        </w:rPr>
        <w:t xml:space="preserve">If a person has previously been released on bail pending trial and during his release is charged with a violent offense as defined by Section 16-1-60, and the court finds, by a preponderance of the evidence, that no condition or combination of conditions will reasonably assure the appearance </w:t>
      </w:r>
      <w:r>
        <w:rPr>
          <w:rFonts w:eastAsia="Times New Roman" w:cs="Times New Roman"/>
          <w:szCs w:val="20"/>
          <w:u w:val="single"/>
        </w:rPr>
        <w:t>of the person as required or the safety of any other person and the</w:t>
      </w:r>
      <w:r>
        <w:rPr>
          <w:rFonts w:eastAsia="Times New Roman" w:cs="Times New Roman"/>
          <w:color w:val="000000"/>
          <w:u w:val="single"/>
        </w:rPr>
        <w:t xml:space="preserve"> community, then the court shall deny release of the person pending trial.</w:t>
      </w:r>
      <w:r>
        <w:rPr>
          <w:rFonts w:eastAsia="Times New Roman" w:cs="Times New Roman"/>
          <w:color w:val="000000"/>
        </w:rPr>
        <w:t>”</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510 of the 1976 Code is amended to read:</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510.</w:t>
      </w:r>
      <w:r>
        <w:rPr>
          <w:rFonts w:eastAsia="Times New Roman" w:cs="Times New Roman"/>
          <w:szCs w:val="20"/>
        </w:rPr>
        <w:tab/>
        <w:t>(A)</w:t>
      </w:r>
      <w:r>
        <w:rPr>
          <w:rFonts w:eastAsia="Times New Roman" w:cs="Times New Roman"/>
          <w:szCs w:val="20"/>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Pr>
          <w:rFonts w:eastAsia="Times New Roman" w:cs="Times New Roman"/>
          <w:szCs w:val="20"/>
          <w:u w:val="single"/>
        </w:rPr>
        <w:t>, including, but not limited to, any charges pending against the person requesting bail</w:t>
      </w:r>
      <w:r>
        <w:rPr>
          <w:rFonts w:eastAsia="Times New Roman" w:cs="Times New Roman"/>
          <w:szCs w:val="20"/>
        </w:rPr>
        <w:t>.  ‘Violent offenses’ as used in this section means the offenses contained in Section 16</w:t>
      </w:r>
      <w:r>
        <w:rPr>
          <w:rFonts w:eastAsia="Times New Roman" w:cs="Times New Roman"/>
          <w:szCs w:val="20"/>
        </w:rPr>
        <w:noBreakHyphen/>
        <w:t>1</w:t>
      </w:r>
      <w:r>
        <w:rPr>
          <w:rFonts w:eastAsia="Times New Roman" w:cs="Times New Roman"/>
          <w:szCs w:val="20"/>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ab/>
        <w:t>(B)</w:t>
      </w:r>
      <w:r>
        <w:rPr>
          <w:rFonts w:eastAsia="Times New Roman" w:cs="Times New Roman"/>
          <w:szCs w:val="20"/>
        </w:rPr>
        <w:tab/>
        <w:t>A person charged with a bailable offense must have a bond hearing within twenty</w:t>
      </w:r>
      <w:r>
        <w:rPr>
          <w:rFonts w:eastAsia="Times New Roman" w:cs="Times New Roman"/>
          <w:szCs w:val="20"/>
        </w:rPr>
        <w:noBreakHyphen/>
        <w:t>four hours of his arrest and must be released within a reasonable time, not to exceed four hours, after the bond is delivered to the incarcerating facility.”</w:t>
      </w:r>
    </w:p>
    <w:p w:rsidR="006643E2" w:rsidRDefault="0066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This act takes effect upon approval by the Governor</w:t>
      </w:r>
      <w:r>
        <w:rPr>
          <w:rFonts w:eastAsia="Times New Roman" w:cs="Times New Roman"/>
          <w:szCs w:val="20"/>
        </w:rPr>
        <w:t>.</w:t>
      </w:r>
    </w:p>
    <w:p w:rsidR="006643E2" w:rsidRDefault="00D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643E2" w:rsidSect="006643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E2" w:rsidRDefault="00DF680B">
      <w:r>
        <w:separator/>
      </w:r>
    </w:p>
  </w:endnote>
  <w:endnote w:type="continuationSeparator" w:id="0">
    <w:p w:rsidR="006643E2" w:rsidRDefault="00DF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B7E8F-C971-45D2-B630-CE7367484C77}"/>
    <w:embedBold r:id="rId2" w:fontKey="{B35A55EB-8340-4950-A506-132691F6EEB8}"/>
  </w:font>
  <w:font w:name="Calibri">
    <w:panose1 w:val="020F0502020204030204"/>
    <w:charset w:val="00"/>
    <w:family w:val="swiss"/>
    <w:pitch w:val="variable"/>
    <w:sig w:usb0="E10002FF" w:usb1="4000ACFF" w:usb2="00000009" w:usb3="00000000" w:csb0="0000019F" w:csb1="00000000"/>
    <w:embedRegular r:id="rId3" w:fontKey="{242EAEF1-6A37-4D47-B723-35C99C83774D}"/>
    <w:embedBold r:id="rId4" w:fontKey="{B5A33264-3A13-48E4-8D4A-74626F660165}"/>
  </w:font>
  <w:font w:name="Tahoma">
    <w:panose1 w:val="020B0604030504040204"/>
    <w:charset w:val="00"/>
    <w:family w:val="swiss"/>
    <w:pitch w:val="variable"/>
    <w:sig w:usb0="21002A87" w:usb1="80000000" w:usb2="00000008" w:usb3="00000000" w:csb0="000101FF" w:csb1="00000000"/>
    <w:embedRegular r:id="rId5" w:fontKey="{AB9AB020-AA5D-4C81-AE33-E0E0CC2AE62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802B9D0-F578-47FC-91E4-08818B10A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3E2" w:rsidRDefault="00DF680B">
    <w:pPr>
      <w:pStyle w:val="Footer"/>
      <w:tabs>
        <w:tab w:val="clear" w:pos="4680"/>
        <w:tab w:val="clear" w:pos="9360"/>
        <w:tab w:val="center" w:pos="2995"/>
      </w:tabs>
      <w:spacing w:before="120"/>
    </w:pPr>
    <w:r>
      <w:t>[6]</w:t>
    </w:r>
    <w:r>
      <w:tab/>
    </w:r>
    <w:r w:rsidR="00385CBB">
      <w:fldChar w:fldCharType="begin"/>
    </w:r>
    <w:r w:rsidR="00385CBB">
      <w:instrText xml:space="preserve"> PAGE  \* MERGEFORMAT </w:instrText>
    </w:r>
    <w:r w:rsidR="00385CBB">
      <w:fldChar w:fldCharType="separate"/>
    </w:r>
    <w:r w:rsidR="00385CBB">
      <w:rPr>
        <w:noProof/>
      </w:rPr>
      <w:t>1</w:t>
    </w:r>
    <w:r w:rsidR="00385C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E2" w:rsidRDefault="00DF680B">
      <w:r>
        <w:separator/>
      </w:r>
    </w:p>
  </w:footnote>
  <w:footnote w:type="continuationSeparator" w:id="0">
    <w:p w:rsidR="006643E2" w:rsidRDefault="00DF6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643E2"/>
    <w:rsid w:val="00385CBB"/>
    <w:rsid w:val="00516E1C"/>
    <w:rsid w:val="006643E2"/>
    <w:rsid w:val="008C303C"/>
    <w:rsid w:val="00AE6DA2"/>
    <w:rsid w:val="00B43A32"/>
    <w:rsid w:val="00B952F4"/>
    <w:rsid w:val="00BF4445"/>
    <w:rsid w:val="00D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5D5BD6-2A19-4992-AAA8-B07659C8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643E2"/>
    <w:rPr>
      <w:szCs w:val="21"/>
    </w:rPr>
  </w:style>
  <w:style w:type="character" w:customStyle="1" w:styleId="PlainTextChar">
    <w:name w:val="Plain Text Char"/>
    <w:basedOn w:val="DefaultParagraphFont"/>
    <w:link w:val="PlainText"/>
    <w:uiPriority w:val="99"/>
    <w:rsid w:val="006643E2"/>
    <w:rPr>
      <w:szCs w:val="21"/>
    </w:rPr>
  </w:style>
  <w:style w:type="paragraph" w:styleId="BodyText">
    <w:name w:val="Body Text"/>
    <w:basedOn w:val="Normal"/>
    <w:link w:val="BodyTextChar"/>
    <w:uiPriority w:val="99"/>
    <w:locked/>
    <w:rsid w:val="006643E2"/>
  </w:style>
  <w:style w:type="character" w:customStyle="1" w:styleId="BodyTextChar">
    <w:name w:val="Body Text Char"/>
    <w:basedOn w:val="DefaultParagraphFont"/>
    <w:link w:val="BodyText"/>
    <w:uiPriority w:val="99"/>
    <w:rsid w:val="006643E2"/>
  </w:style>
  <w:style w:type="paragraph" w:styleId="BalloonText">
    <w:name w:val="Balloon Text"/>
    <w:next w:val="Normal"/>
    <w:link w:val="BalloonTextChar"/>
    <w:uiPriority w:val="99"/>
    <w:unhideWhenUsed/>
    <w:rsid w:val="006643E2"/>
    <w:rPr>
      <w:rFonts w:cs="Tahoma"/>
      <w:szCs w:val="16"/>
    </w:rPr>
  </w:style>
  <w:style w:type="character" w:customStyle="1" w:styleId="BalloonTextChar">
    <w:name w:val="Balloon Text Char"/>
    <w:basedOn w:val="DefaultParagraphFont"/>
    <w:link w:val="BalloonText"/>
    <w:uiPriority w:val="99"/>
    <w:rsid w:val="006643E2"/>
    <w:rPr>
      <w:rFonts w:cs="Tahoma"/>
      <w:szCs w:val="16"/>
    </w:rPr>
  </w:style>
  <w:style w:type="paragraph" w:styleId="NormalWeb">
    <w:name w:val="Normal (Web)"/>
    <w:basedOn w:val="Normal"/>
    <w:next w:val="Normal"/>
    <w:semiHidden/>
    <w:locked/>
    <w:rsid w:val="006643E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643E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643E2"/>
    <w:rPr>
      <w:rFonts w:cs="Times New Roman"/>
    </w:rPr>
  </w:style>
  <w:style w:type="paragraph" w:styleId="Header">
    <w:name w:val="header"/>
    <w:basedOn w:val="Normal"/>
    <w:link w:val="HeaderChar"/>
    <w:uiPriority w:val="99"/>
    <w:semiHidden/>
    <w:unhideWhenUsed/>
    <w:locked/>
    <w:rsid w:val="006643E2"/>
    <w:pPr>
      <w:tabs>
        <w:tab w:val="center" w:pos="4680"/>
        <w:tab w:val="right" w:pos="9360"/>
      </w:tabs>
    </w:pPr>
  </w:style>
  <w:style w:type="character" w:customStyle="1" w:styleId="HeaderChar">
    <w:name w:val="Header Char"/>
    <w:basedOn w:val="DefaultParagraphFont"/>
    <w:link w:val="Header"/>
    <w:uiPriority w:val="99"/>
    <w:semiHidden/>
    <w:rsid w:val="006643E2"/>
  </w:style>
  <w:style w:type="character" w:styleId="LineNumber">
    <w:name w:val="line number"/>
    <w:basedOn w:val="DefaultParagraphFont"/>
    <w:uiPriority w:val="99"/>
    <w:semiHidden/>
    <w:unhideWhenUsed/>
    <w:locked/>
    <w:rsid w:val="006643E2"/>
  </w:style>
  <w:style w:type="character" w:styleId="Hyperlink">
    <w:name w:val="Hyperlink"/>
    <w:basedOn w:val="DefaultParagraphFont"/>
    <w:uiPriority w:val="99"/>
    <w:unhideWhenUsed/>
    <w:locked/>
    <w:rsid w:val="006643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709</Words>
  <Characters>3760</Characters>
  <Application>Microsoft Office Word</Application>
  <DocSecurity>0</DocSecurity>
  <Lines>118</Lines>
  <Paragraphs>34</Paragraphs>
  <ScaleCrop>false</ScaleCrop>
  <Company>Project Management</Company>
  <LinksUpToDate>false</LinksUpToDate>
  <CharactersWithSpaces>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 Conditions for release - South Carolina Legislature Online</dc:title>
  <dc:subject/>
  <dc:creator>NSC</dc:creator>
  <cp:keywords/>
  <dc:description/>
  <cp:lastModifiedBy>N Cumfer</cp:lastModifiedBy>
  <cp:revision>16</cp:revision>
  <dcterms:created xsi:type="dcterms:W3CDTF">2008-12-10T18:54:00Z</dcterms:created>
  <dcterms:modified xsi:type="dcterms:W3CDTF">2014-11-24T14:46:00Z</dcterms:modified>
</cp:coreProperties>
</file>