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A3F" w:rsidRDefault="00843A2D">
      <w:pPr>
        <w:widowControl w:val="0"/>
        <w:jc w:val="center"/>
        <w:rPr>
          <w:rFonts w:cs="Times New Roman"/>
        </w:rPr>
      </w:pPr>
      <w:bookmarkStart w:id="0" w:name="_GoBack"/>
      <w:bookmarkEnd w:id="0"/>
      <w:r>
        <w:rPr>
          <w:rFonts w:cs="Times New Roman"/>
          <w:b/>
        </w:rPr>
        <w:t>South Carolina General Assembly</w:t>
      </w:r>
    </w:p>
    <w:p w:rsidR="00356A3F" w:rsidRDefault="00843A2D">
      <w:pPr>
        <w:widowControl w:val="0"/>
        <w:jc w:val="center"/>
        <w:rPr>
          <w:rFonts w:cs="Times New Roman"/>
        </w:rPr>
      </w:pPr>
      <w:r>
        <w:rPr>
          <w:rFonts w:cs="Times New Roman"/>
        </w:rPr>
        <w:t>118th Session, 2009-2010</w:t>
      </w:r>
    </w:p>
    <w:p w:rsidR="00356A3F" w:rsidRDefault="00356A3F">
      <w:pPr>
        <w:widowControl w:val="0"/>
        <w:jc w:val="left"/>
        <w:rPr>
          <w:rFonts w:cs="Times New Roman"/>
        </w:rPr>
      </w:pPr>
    </w:p>
    <w:p w:rsidR="00356A3F" w:rsidRDefault="00843A2D">
      <w:pPr>
        <w:widowControl w:val="0"/>
        <w:jc w:val="left"/>
        <w:rPr>
          <w:rFonts w:cs="Times New Roman"/>
          <w:b/>
        </w:rPr>
      </w:pPr>
      <w:r>
        <w:rPr>
          <w:rFonts w:cs="Times New Roman"/>
          <w:b/>
        </w:rPr>
        <w:t>S. 76</w:t>
      </w:r>
    </w:p>
    <w:p w:rsidR="00356A3F" w:rsidRDefault="00356A3F">
      <w:pPr>
        <w:widowControl w:val="0"/>
        <w:jc w:val="left"/>
        <w:rPr>
          <w:rFonts w:cs="Times New Roman"/>
          <w:b/>
        </w:rPr>
      </w:pPr>
    </w:p>
    <w:p w:rsidR="00356A3F" w:rsidRDefault="00843A2D">
      <w:pPr>
        <w:widowControl w:val="0"/>
        <w:jc w:val="left"/>
        <w:rPr>
          <w:rFonts w:cs="Times New Roman"/>
        </w:rPr>
      </w:pPr>
      <w:r>
        <w:rPr>
          <w:rFonts w:cs="Times New Roman"/>
          <w:b/>
        </w:rPr>
        <w:t>STATUS INFORMATION</w:t>
      </w:r>
    </w:p>
    <w:p w:rsidR="00356A3F" w:rsidRDefault="00356A3F">
      <w:pPr>
        <w:widowControl w:val="0"/>
        <w:jc w:val="left"/>
        <w:rPr>
          <w:rFonts w:cs="Times New Roman"/>
        </w:rPr>
      </w:pPr>
    </w:p>
    <w:p w:rsidR="00356A3F" w:rsidRDefault="00843A2D">
      <w:pPr>
        <w:widowControl w:val="0"/>
        <w:jc w:val="left"/>
        <w:rPr>
          <w:rFonts w:cs="Times New Roman"/>
        </w:rPr>
      </w:pPr>
      <w:r>
        <w:rPr>
          <w:rFonts w:cs="Times New Roman"/>
        </w:rPr>
        <w:t>General Bill</w:t>
      </w:r>
    </w:p>
    <w:p w:rsidR="00356A3F" w:rsidRDefault="00843A2D">
      <w:pPr>
        <w:widowControl w:val="0"/>
        <w:jc w:val="left"/>
        <w:rPr>
          <w:rFonts w:cs="Times New Roman"/>
        </w:rPr>
      </w:pPr>
      <w:r>
        <w:rPr>
          <w:rFonts w:cs="Times New Roman"/>
        </w:rPr>
        <w:t>Sponsors: Senator Ford</w:t>
      </w:r>
    </w:p>
    <w:p w:rsidR="00356A3F" w:rsidRDefault="00843A2D">
      <w:pPr>
        <w:widowControl w:val="0"/>
        <w:jc w:val="left"/>
        <w:rPr>
          <w:rFonts w:cs="Times New Roman"/>
        </w:rPr>
      </w:pPr>
      <w:r>
        <w:rPr>
          <w:rFonts w:cs="Times New Roman"/>
        </w:rPr>
        <w:t>Document Path: l:\council\bills\nbd\11033ac09.docx</w:t>
      </w:r>
    </w:p>
    <w:p w:rsidR="00356A3F" w:rsidRDefault="00843A2D">
      <w:pPr>
        <w:widowControl w:val="0"/>
        <w:jc w:val="left"/>
        <w:rPr>
          <w:rFonts w:cs="Times New Roman"/>
        </w:rPr>
      </w:pPr>
      <w:r>
        <w:rPr>
          <w:rFonts w:cs="Times New Roman"/>
        </w:rPr>
        <w:t>Companion/Similar bill(s): 39, 40, 73, 75</w:t>
      </w:r>
    </w:p>
    <w:p w:rsidR="00356A3F" w:rsidRDefault="00356A3F">
      <w:pPr>
        <w:widowControl w:val="0"/>
        <w:jc w:val="left"/>
        <w:rPr>
          <w:rFonts w:cs="Times New Roman"/>
        </w:rPr>
      </w:pPr>
    </w:p>
    <w:p w:rsidR="00356A3F" w:rsidRDefault="00843A2D">
      <w:pPr>
        <w:widowControl w:val="0"/>
        <w:jc w:val="left"/>
        <w:rPr>
          <w:rFonts w:cs="Times New Roman"/>
        </w:rPr>
      </w:pPr>
      <w:r>
        <w:rPr>
          <w:rFonts w:cs="Times New Roman"/>
        </w:rPr>
        <w:t>Introduced in the Senate on January 13, 2009</w:t>
      </w:r>
    </w:p>
    <w:p w:rsidR="00356A3F" w:rsidRDefault="00843A2D">
      <w:pPr>
        <w:widowControl w:val="0"/>
        <w:jc w:val="left"/>
        <w:rPr>
          <w:rFonts w:cs="Times New Roman"/>
        </w:rPr>
      </w:pPr>
      <w:r>
        <w:rPr>
          <w:rFonts w:cs="Times New Roman"/>
        </w:rPr>
        <w:t xml:space="preserve">Currently residing in the Senate Committee on </w:t>
      </w:r>
      <w:r>
        <w:rPr>
          <w:rFonts w:cs="Times New Roman"/>
          <w:b/>
        </w:rPr>
        <w:t>Judiciary</w:t>
      </w:r>
    </w:p>
    <w:p w:rsidR="00356A3F" w:rsidRDefault="00356A3F">
      <w:pPr>
        <w:widowControl w:val="0"/>
        <w:jc w:val="left"/>
        <w:rPr>
          <w:rFonts w:cs="Times New Roman"/>
        </w:rPr>
      </w:pPr>
    </w:p>
    <w:p w:rsidR="00356A3F" w:rsidRDefault="00843A2D">
      <w:pPr>
        <w:widowControl w:val="0"/>
        <w:jc w:val="left"/>
        <w:rPr>
          <w:rFonts w:cs="Times New Roman"/>
        </w:rPr>
      </w:pPr>
      <w:r>
        <w:rPr>
          <w:rFonts w:cs="Times New Roman"/>
        </w:rPr>
        <w:t>Summary: Discrimination</w:t>
      </w:r>
    </w:p>
    <w:p w:rsidR="00356A3F" w:rsidRDefault="00356A3F">
      <w:pPr>
        <w:widowControl w:val="0"/>
        <w:jc w:val="left"/>
        <w:rPr>
          <w:rFonts w:cs="Times New Roman"/>
        </w:rPr>
      </w:pPr>
    </w:p>
    <w:p w:rsidR="00356A3F" w:rsidRDefault="00356A3F">
      <w:pPr>
        <w:widowControl w:val="0"/>
        <w:jc w:val="left"/>
        <w:rPr>
          <w:rFonts w:cs="Times New Roman"/>
        </w:rPr>
      </w:pPr>
    </w:p>
    <w:p w:rsidR="00356A3F" w:rsidRDefault="00843A2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56A3F" w:rsidRDefault="00356A3F">
      <w:pPr>
        <w:widowControl w:val="0"/>
        <w:tabs>
          <w:tab w:val="center" w:pos="590"/>
          <w:tab w:val="center" w:pos="1440"/>
          <w:tab w:val="left" w:pos="1872"/>
          <w:tab w:val="left" w:pos="9187"/>
        </w:tabs>
        <w:jc w:val="left"/>
        <w:rPr>
          <w:rFonts w:cs="Times New Roman"/>
        </w:rPr>
      </w:pPr>
    </w:p>
    <w:p w:rsidR="00356A3F" w:rsidRDefault="00843A2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433EE" w:rsidRDefault="004433EE" w:rsidP="004433E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A4629A">
        <w:rPr>
          <w:rFonts w:cs="Times New Roman"/>
        </w:rPr>
        <w:t>Prefiled</w:t>
      </w:r>
    </w:p>
    <w:p w:rsidR="004433EE" w:rsidRDefault="004433EE" w:rsidP="004433E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A4629A">
        <w:rPr>
          <w:rFonts w:cs="Times New Roman"/>
        </w:rPr>
        <w:t xml:space="preserve">Referred to Committee on </w:t>
      </w:r>
      <w:r w:rsidRPr="00A4629A">
        <w:rPr>
          <w:rFonts w:cs="Times New Roman"/>
          <w:b/>
        </w:rPr>
        <w:t>Judiciary</w:t>
      </w:r>
    </w:p>
    <w:p w:rsidR="004433EE" w:rsidRDefault="004433EE" w:rsidP="004433E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A4629A">
        <w:rPr>
          <w:rFonts w:cs="Times New Roman"/>
        </w:rPr>
        <w:t xml:space="preserve">Introduced and read first time </w:t>
      </w:r>
      <w:hyperlink r:id="rId6" w:history="1">
        <w:r w:rsidRPr="00D759AB">
          <w:rPr>
            <w:rStyle w:val="Hyperlink"/>
            <w:rFonts w:cs="Times New Roman"/>
          </w:rPr>
          <w:t>SJ</w:t>
        </w:r>
      </w:hyperlink>
      <w:r>
        <w:rPr>
          <w:rFonts w:cs="Times New Roman"/>
        </w:rPr>
        <w:noBreakHyphen/>
      </w:r>
      <w:r w:rsidRPr="00A4629A">
        <w:rPr>
          <w:rFonts w:cs="Times New Roman"/>
        </w:rPr>
        <w:t>106</w:t>
      </w:r>
    </w:p>
    <w:p w:rsidR="004433EE" w:rsidRDefault="004433EE" w:rsidP="004433E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A4629A">
        <w:rPr>
          <w:rFonts w:cs="Times New Roman"/>
        </w:rPr>
        <w:t xml:space="preserve">Referred to Committee on </w:t>
      </w:r>
      <w:r w:rsidRPr="00A4629A">
        <w:rPr>
          <w:rFonts w:cs="Times New Roman"/>
          <w:b/>
        </w:rPr>
        <w:t>Judiciary</w:t>
      </w:r>
      <w:r w:rsidRPr="00A4629A">
        <w:rPr>
          <w:rFonts w:cs="Times New Roman"/>
        </w:rPr>
        <w:t xml:space="preserve"> </w:t>
      </w:r>
      <w:hyperlink r:id="rId7" w:history="1">
        <w:r w:rsidRPr="00D759AB">
          <w:rPr>
            <w:rStyle w:val="Hyperlink"/>
            <w:rFonts w:cs="Times New Roman"/>
          </w:rPr>
          <w:t>SJ</w:t>
        </w:r>
      </w:hyperlink>
      <w:r>
        <w:rPr>
          <w:rFonts w:cs="Times New Roman"/>
        </w:rPr>
        <w:noBreakHyphen/>
      </w:r>
      <w:r w:rsidRPr="00A4629A">
        <w:rPr>
          <w:rFonts w:cs="Times New Roman"/>
        </w:rPr>
        <w:t>106</w:t>
      </w:r>
    </w:p>
    <w:p w:rsidR="004433EE" w:rsidRDefault="004433EE" w:rsidP="004433EE">
      <w:pPr>
        <w:widowControl w:val="0"/>
        <w:tabs>
          <w:tab w:val="right" w:pos="1008"/>
          <w:tab w:val="left" w:pos="1152"/>
          <w:tab w:val="left" w:pos="1872"/>
          <w:tab w:val="left" w:pos="9187"/>
        </w:tabs>
        <w:ind w:left="2088" w:hanging="2088"/>
        <w:jc w:val="left"/>
        <w:rPr>
          <w:rFonts w:cs="Times New Roman"/>
        </w:rPr>
      </w:pPr>
      <w:r>
        <w:rPr>
          <w:rFonts w:cs="Times New Roman"/>
        </w:rPr>
        <w:tab/>
        <w:t>1/20/2010</w:t>
      </w:r>
      <w:r>
        <w:rPr>
          <w:rFonts w:cs="Times New Roman"/>
        </w:rPr>
        <w:tab/>
        <w:t>Senate</w:t>
      </w:r>
      <w:r>
        <w:rPr>
          <w:rFonts w:cs="Times New Roman"/>
        </w:rPr>
        <w:tab/>
      </w:r>
      <w:r w:rsidRPr="00A4629A">
        <w:rPr>
          <w:rFonts w:cs="Times New Roman"/>
        </w:rPr>
        <w:t>Referred to Subco</w:t>
      </w:r>
      <w:r>
        <w:rPr>
          <w:rFonts w:cs="Times New Roman"/>
        </w:rPr>
        <w:t xml:space="preserve">mmittee: Campbell (ch), Knotts, </w:t>
      </w:r>
      <w:r w:rsidRPr="00A4629A">
        <w:rPr>
          <w:rFonts w:cs="Times New Roman"/>
        </w:rPr>
        <w:t>Campsen, Lourie</w:t>
      </w:r>
    </w:p>
    <w:p w:rsidR="004433EE" w:rsidRDefault="004433EE" w:rsidP="004433EE">
      <w:pPr>
        <w:widowControl w:val="0"/>
        <w:tabs>
          <w:tab w:val="right" w:pos="1008"/>
          <w:tab w:val="left" w:pos="1152"/>
          <w:tab w:val="left" w:pos="1872"/>
          <w:tab w:val="left" w:pos="9187"/>
        </w:tabs>
        <w:ind w:left="2088" w:hanging="2088"/>
        <w:jc w:val="left"/>
        <w:rPr>
          <w:rFonts w:cs="Times New Roman"/>
        </w:rPr>
      </w:pPr>
    </w:p>
    <w:p w:rsidR="00356A3F" w:rsidRDefault="00356A3F">
      <w:pPr>
        <w:widowControl w:val="0"/>
        <w:tabs>
          <w:tab w:val="right" w:pos="1008"/>
          <w:tab w:val="left" w:pos="1152"/>
          <w:tab w:val="left" w:pos="1872"/>
          <w:tab w:val="left" w:pos="9187"/>
        </w:tabs>
        <w:ind w:left="2088" w:hanging="2088"/>
        <w:jc w:val="left"/>
        <w:rPr>
          <w:rFonts w:cs="Times New Roman"/>
        </w:rPr>
      </w:pPr>
    </w:p>
    <w:p w:rsidR="00356A3F" w:rsidRDefault="00843A2D">
      <w:pPr>
        <w:widowControl w:val="0"/>
        <w:jc w:val="left"/>
        <w:rPr>
          <w:rFonts w:cs="Times New Roman"/>
        </w:rPr>
      </w:pPr>
      <w:r>
        <w:rPr>
          <w:rFonts w:cs="Times New Roman"/>
          <w:b/>
        </w:rPr>
        <w:t>VERSIONS OF THIS BILL</w:t>
      </w:r>
    </w:p>
    <w:p w:rsidR="00356A3F" w:rsidRDefault="00356A3F">
      <w:pPr>
        <w:widowControl w:val="0"/>
        <w:jc w:val="left"/>
        <w:rPr>
          <w:rFonts w:cs="Times New Roman"/>
        </w:rPr>
      </w:pPr>
    </w:p>
    <w:p w:rsidR="00356A3F" w:rsidRDefault="006A2C26">
      <w:pPr>
        <w:widowControl w:val="0"/>
        <w:jc w:val="left"/>
        <w:rPr>
          <w:rFonts w:cs="Times New Roman"/>
        </w:rPr>
      </w:pPr>
      <w:hyperlink r:id="rId8" w:history="1">
        <w:r w:rsidR="00843A2D">
          <w:rPr>
            <w:rStyle w:val="Hyperlink"/>
            <w:rFonts w:cs="Times New Roman"/>
          </w:rPr>
          <w:t>12/10/2008</w:t>
        </w:r>
      </w:hyperlink>
    </w:p>
    <w:p w:rsidR="00356A3F" w:rsidRDefault="00356A3F"/>
    <w:p w:rsidR="00356A3F" w:rsidRDefault="00356A3F">
      <w:pPr>
        <w:sectPr w:rsidR="00356A3F">
          <w:pgSz w:w="12240" w:h="15840" w:code="1"/>
          <w:pgMar w:top="1080" w:right="1440" w:bottom="1080" w:left="1440" w:header="720" w:footer="720" w:gutter="0"/>
          <w:cols w:space="720"/>
          <w:noEndnote/>
          <w:docGrid w:linePitch="360"/>
        </w:sectPr>
      </w:pPr>
    </w:p>
    <w:p w:rsidR="00356A3F" w:rsidRDefault="00356A3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65 SO AS TO REQUIRE HEALTH CARE FACILITIES TO ESTABLISH PROTOCOLS ALLOWING A PATIENT TO DESIGNATE AN INDIVIDUAL AS AN AUTHORIZED VISITOR REGARDLESS OF THE BLOOD OR LEGAL RELATIONSHIP OF THE PATIENT TO THE INDIVIDUAL; TO AMEND SECTIONS 1</w:t>
      </w:r>
      <w:r>
        <w:rPr>
          <w:rFonts w:eastAsia="Times New Roman" w:cs="Times New Roman"/>
          <w:szCs w:val="20"/>
        </w:rPr>
        <w:noBreakHyphen/>
        <w:t>13</w:t>
      </w:r>
      <w:r>
        <w:rPr>
          <w:rFonts w:eastAsia="Times New Roman" w:cs="Times New Roman"/>
          <w:szCs w:val="20"/>
        </w:rPr>
        <w:noBreakHyphen/>
        <w:t>20, 1</w:t>
      </w:r>
      <w:r>
        <w:rPr>
          <w:rFonts w:eastAsia="Times New Roman" w:cs="Times New Roman"/>
          <w:szCs w:val="20"/>
        </w:rPr>
        <w:noBreakHyphen/>
        <w:t>13</w:t>
      </w:r>
      <w:r>
        <w:rPr>
          <w:rFonts w:eastAsia="Times New Roman" w:cs="Times New Roman"/>
          <w:szCs w:val="20"/>
        </w:rPr>
        <w:noBreakHyphen/>
        <w:t>30, 1</w:t>
      </w:r>
      <w:r>
        <w:rPr>
          <w:rFonts w:eastAsia="Times New Roman" w:cs="Times New Roman"/>
          <w:szCs w:val="20"/>
        </w:rPr>
        <w:noBreakHyphen/>
        <w:t>13</w:t>
      </w:r>
      <w:r>
        <w:rPr>
          <w:rFonts w:eastAsia="Times New Roman" w:cs="Times New Roman"/>
          <w:szCs w:val="20"/>
        </w:rPr>
        <w:noBreakHyphen/>
        <w:t>70, 1</w:t>
      </w:r>
      <w:r>
        <w:rPr>
          <w:rFonts w:eastAsia="Times New Roman" w:cs="Times New Roman"/>
          <w:szCs w:val="20"/>
        </w:rPr>
        <w:noBreakHyphen/>
        <w:t>13</w:t>
      </w:r>
      <w:r>
        <w:rPr>
          <w:rFonts w:eastAsia="Times New Roman" w:cs="Times New Roman"/>
          <w:szCs w:val="20"/>
        </w:rPr>
        <w:noBreakHyphen/>
        <w:t>80, 1</w:t>
      </w:r>
      <w:r>
        <w:rPr>
          <w:rFonts w:eastAsia="Times New Roman" w:cs="Times New Roman"/>
          <w:szCs w:val="20"/>
        </w:rPr>
        <w:noBreakHyphen/>
        <w:t>13</w:t>
      </w:r>
      <w:r>
        <w:rPr>
          <w:rFonts w:eastAsia="Times New Roman" w:cs="Times New Roman"/>
          <w:szCs w:val="20"/>
        </w:rPr>
        <w:noBreakHyphen/>
        <w:t>90, AS AMENDED, AND 1</w:t>
      </w:r>
      <w:r>
        <w:rPr>
          <w:rFonts w:eastAsia="Times New Roman" w:cs="Times New Roman"/>
          <w:szCs w:val="20"/>
        </w:rPr>
        <w:noBreakHyphen/>
        <w:t>13</w:t>
      </w:r>
      <w:r>
        <w:rPr>
          <w:rFonts w:eastAsia="Times New Roman" w:cs="Times New Roman"/>
          <w:szCs w:val="20"/>
        </w:rPr>
        <w:noBreakHyphen/>
        <w:t>100, ALL RELATING TO PROHIBITING DISCRIMINATION IN EMPLOYMENT BECAUSE OF RACE, RELIGION, COLOR, SEX, AGE, NATIONAL ORIGIN, OR DISABILITY, SO AS TO ALSO PROHIBIT SUCH DISCRIMINATION BECAUSE OF SEXUAL ORIENTATION OR GENDER IDENTITY AND TO DEFINE “SEXUAL ORIENTATION” AND “GENDER IDENTITY”; TO AMEND SECTIONS 31</w:t>
      </w:r>
      <w:r>
        <w:rPr>
          <w:rFonts w:eastAsia="Times New Roman" w:cs="Times New Roman"/>
          <w:szCs w:val="20"/>
        </w:rPr>
        <w:noBreakHyphen/>
        <w:t>21</w:t>
      </w:r>
      <w:r>
        <w:rPr>
          <w:rFonts w:eastAsia="Times New Roman" w:cs="Times New Roman"/>
          <w:szCs w:val="20"/>
        </w:rPr>
        <w:noBreakHyphen/>
        <w:t>30, 31</w:t>
      </w:r>
      <w:r>
        <w:rPr>
          <w:rFonts w:eastAsia="Times New Roman" w:cs="Times New Roman"/>
          <w:szCs w:val="20"/>
        </w:rPr>
        <w:noBreakHyphen/>
        <w:t>21</w:t>
      </w:r>
      <w:r>
        <w:rPr>
          <w:rFonts w:eastAsia="Times New Roman" w:cs="Times New Roman"/>
          <w:szCs w:val="20"/>
        </w:rPr>
        <w:noBreakHyphen/>
        <w:t>40, 31</w:t>
      </w:r>
      <w:r>
        <w:rPr>
          <w:rFonts w:eastAsia="Times New Roman" w:cs="Times New Roman"/>
          <w:szCs w:val="20"/>
        </w:rPr>
        <w:noBreakHyphen/>
        <w:t>21</w:t>
      </w:r>
      <w:r>
        <w:rPr>
          <w:rFonts w:eastAsia="Times New Roman" w:cs="Times New Roman"/>
          <w:szCs w:val="20"/>
        </w:rPr>
        <w:noBreakHyphen/>
        <w:t>50, 31</w:t>
      </w:r>
      <w:r>
        <w:rPr>
          <w:rFonts w:eastAsia="Times New Roman" w:cs="Times New Roman"/>
          <w:szCs w:val="20"/>
        </w:rPr>
        <w:noBreakHyphen/>
        <w:t>21</w:t>
      </w:r>
      <w:r>
        <w:rPr>
          <w:rFonts w:eastAsia="Times New Roman" w:cs="Times New Roman"/>
          <w:szCs w:val="20"/>
        </w:rPr>
        <w:noBreakHyphen/>
        <w:t>60, AND 31</w:t>
      </w:r>
      <w:r>
        <w:rPr>
          <w:rFonts w:eastAsia="Times New Roman" w:cs="Times New Roman"/>
          <w:szCs w:val="20"/>
        </w:rPr>
        <w:noBreakHyphen/>
        <w:t>21</w:t>
      </w:r>
      <w:r>
        <w:rPr>
          <w:rFonts w:eastAsia="Times New Roman" w:cs="Times New Roman"/>
          <w:szCs w:val="20"/>
        </w:rPr>
        <w:noBreakHyphen/>
        <w:t>70, ALL RELATING TO PROHIBITING DISCRIMINATION PURSUANT TO THE SOUTH CAROLINA FAIR HOUSING LAW, CONCERNING THE BUYING, SELLING, OR RENTING OF DWELLINGS, BECAUSE OF RACE, COLOR, RELIGION, SEX, HANDICAP, FAMILIAL STATUS, OR NATIONAL ORIGIN, SO AS TO ALSO PROHIBIT SUCH DISCRIMINATION BECAUSE OF SEXUAL ORIENTATION OR GENDER IDENTITY AND TO DEFINE “SEXUAL ORIENTATION” AND “GENDER IDENTITY”;  TO AMEND SECTIONS 45</w:t>
      </w:r>
      <w:r>
        <w:rPr>
          <w:rFonts w:eastAsia="Times New Roman" w:cs="Times New Roman"/>
          <w:szCs w:val="20"/>
        </w:rPr>
        <w:noBreakHyphen/>
        <w:t>2</w:t>
      </w:r>
      <w:r>
        <w:rPr>
          <w:rFonts w:eastAsia="Times New Roman" w:cs="Times New Roman"/>
          <w:szCs w:val="20"/>
        </w:rPr>
        <w:noBreakHyphen/>
        <w:t>20, 45</w:t>
      </w:r>
      <w:r>
        <w:rPr>
          <w:rFonts w:eastAsia="Times New Roman" w:cs="Times New Roman"/>
          <w:szCs w:val="20"/>
        </w:rPr>
        <w:noBreakHyphen/>
        <w:t>2</w:t>
      </w:r>
      <w:r>
        <w:rPr>
          <w:rFonts w:eastAsia="Times New Roman" w:cs="Times New Roman"/>
          <w:szCs w:val="20"/>
        </w:rPr>
        <w:noBreakHyphen/>
        <w:t>30, AND 45</w:t>
      </w:r>
      <w:r>
        <w:rPr>
          <w:rFonts w:eastAsia="Times New Roman" w:cs="Times New Roman"/>
          <w:szCs w:val="20"/>
        </w:rPr>
        <w:noBreakHyphen/>
        <w:t>2</w:t>
      </w:r>
      <w:r>
        <w:rPr>
          <w:rFonts w:eastAsia="Times New Roman" w:cs="Times New Roman"/>
          <w:szCs w:val="20"/>
        </w:rPr>
        <w:noBreakHyphen/>
        <w:t xml:space="preserve">60, RELATING TO PROHIBITING DISCRIMINATION PURSUANT TO THE LODGING ESTABLISHMENT ACT, CONCERNING HOTELS AND OTHER SLEEPING ACCOMMODATIONS, BECAUSE OF RACE, CREED, COLOR, NATIONAL ORIGIN, GENDER, DISABILITY, OR MARITAL STATUS, SO AS TO ALSO PROHIBIT SUCH DISCRIMINATION BECAUSE OF SEXUAL ORIENTATION </w:t>
      </w:r>
      <w:r>
        <w:rPr>
          <w:rFonts w:eastAsia="Times New Roman" w:cs="Times New Roman"/>
          <w:szCs w:val="20"/>
        </w:rPr>
        <w:lastRenderedPageBreak/>
        <w:t>OR GENDER IDENTITY AND TO DEFINE “SEXUAL ORIENTATION” AND “GENDER IDENTITY”; TO AMEND SECTION 45</w:t>
      </w:r>
      <w:r>
        <w:rPr>
          <w:rFonts w:eastAsia="Times New Roman" w:cs="Times New Roman"/>
          <w:szCs w:val="20"/>
        </w:rPr>
        <w:noBreakHyphen/>
        <w:t>9</w:t>
      </w:r>
      <w:r>
        <w:rPr>
          <w:rFonts w:eastAsia="Times New Roman" w:cs="Times New Roman"/>
          <w:szCs w:val="20"/>
        </w:rPr>
        <w:noBreakHyphen/>
        <w:t>10, RELATING TO PROHIBITING DISCRIMINATION IN THE FULL AND EQUAL ENJOYMENT OF THE GOODS, SERVICES, FACILITIES, PRIVILEGES, ADVANTAGES AND ACCOMMODATIONS OF ANY PLACE OF PUBLIC ACCOMMODATION BECAUSE OF RACE, COLOR, RELIGION, OR NATIONAL ORIGIN, SO AS TO PROHIBIT SUCH DISCRIMINATION BECAUSE OF SEXUAL ORIENTATION OR GENDER IDENTITY AND TO DEFINE “SEXUAL ORIENTATION” AND “GENDER IDENTITY”; AND BY ADDING SECTION 16</w:t>
      </w:r>
      <w:r>
        <w:rPr>
          <w:rFonts w:eastAsia="Times New Roman" w:cs="Times New Roman"/>
          <w:szCs w:val="20"/>
        </w:rPr>
        <w:noBreakHyphen/>
        <w:t>3</w:t>
      </w:r>
      <w:r>
        <w:rPr>
          <w:rFonts w:eastAsia="Times New Roman" w:cs="Times New Roman"/>
          <w:szCs w:val="20"/>
        </w:rPr>
        <w:noBreakHyphen/>
        <w:t>1900 SO AS TO ESTABLISH PENALTIES FOR NONCAPITAL CRIMINAL OFFENSES AGAINST A PERSON THAT WERE MOTIVATED BY HATE, WHICH PERTAINS TO SUCH CRIMES BEING COMMITTED WITH THE INTENT TO COMMIT THE CRIME BECAUSE OF THE ACTUAL OR PERCEIVED RACE, RELIGION, COLOR, NATIONAL ORIGIN, ANCESTRY, AGE, DISABILITY, GENDER, SEXUAL ORIENTATION OR GENDER IDENTITY OF A VICTIM, AND TO DEFINE “AGE”, “BASE OFFENSE”, “GENDER IDENTITY”, “DISABILITY”, “MOTIVATED BY HATE”, AND “SEXUAL ORIENTATION”.</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65.</w:t>
      </w:r>
      <w:r>
        <w:rPr>
          <w:rFonts w:eastAsia="Times New Roman" w:cs="Times New Roman"/>
          <w:szCs w:val="20"/>
        </w:rPr>
        <w:tab/>
        <w:t>A health care facility, as defined in Section 44</w:t>
      </w:r>
      <w:r>
        <w:rPr>
          <w:rFonts w:eastAsia="Times New Roman" w:cs="Times New Roman"/>
          <w:szCs w:val="20"/>
        </w:rPr>
        <w:noBreakHyphen/>
        <w:t>7</w:t>
      </w:r>
      <w:r>
        <w:rPr>
          <w:rFonts w:eastAsia="Times New Roman" w:cs="Times New Roman"/>
          <w:szCs w:val="20"/>
        </w:rPr>
        <w:noBreakHyphen/>
        <w:t>130, shall develop a protocol allowing a patient to designate any individual as an authorized visitor, regardless of the blood or legal relationship of the patient to the individual.  This protocol also must allow for the acceptance of a notarized hospital visitation authorization designating an individual as an authorized visitor and for the acceptance of such an authorization from the individual designated as an authorized visitor when a patient is incapacitated or otherwise unable to designate an authorized visitor.”</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20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This chapter is an expression of the concern of the State for the promotion of harmony and the betterment of human affairs.  The General Assembly declares the practice of discrimination against an individual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 xml:space="preserve">B. </w:t>
      </w: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30 of the 1976 Code is amended by adding appropriately lettered items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‘Sexual orientation’ means heterosexuality, homosexuality, or bisexuality, whether actual or perceived.</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C. </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70(f)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To create or recognize advisory agencies and conciliation councils, local, regional, or statewide, as will aid in effectuating the purposes of this chapter and of Section 3 of Article I of the Constitution of this State.  The commission may empower these agencies and councils to study problems of discrimination in all or specific fields of human affairs or in specific instances of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80(A), (B), (C), (E), (G), (I)(1), (3) and (6) of the 1976 Code are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an unlawful employment practice for an employer: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fail or refuse to hire, bar, discharge from employment or otherwise discriminate against an individual with respect to the individual’s compensation or terms, conditions, or privileges of employment because of the individual’s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employees or applicants for employment in a way which would deprive or tend to deprive an individual of employment opportunities, or otherwise adversely affect the individual’s status as an employee,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reduce the wage rate of an employee in order to comply with the provisions of this chapter relating to age.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It is an unlawful employment practice for an employment agency to fail or refuse to refer for employment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or to classify or refer for employment an individual on the basis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It is an unlawful employment practice for a labor organization: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exclude or to expel from its membership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cause or attempt to cause an employer to discriminate against an individual in violation of this section. </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an unlawful employment practice for an employer, labor organization,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 xml:space="preserve">job training programs,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admission to or employment in a program established to provide apprenticeship or other training. </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It is an unlawful employment practice for an employer, labor organization, employment agency,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rFonts w:eastAsia="Times New Roman" w:cs="Times New Roman"/>
          <w:szCs w:val="20"/>
        </w:rPr>
        <w:noBreakHyphen/>
        <w:t xml:space="preserve">management committee indicating a preference, limitation, specification,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except that the notice or advertisement may indicate a preference, limitation, specification, or discrimination based on religion, sex, or national origin when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for employment. </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rFonts w:eastAsia="Times New Roman" w:cs="Times New Roman"/>
          <w:szCs w:val="20"/>
        </w:rPr>
        <w:noBreakHyphen/>
        <w:t xml:space="preserve">management committee controlling apprenticeship or other training or retraining programs to admit or employ an individual in a program on the basis of the individual’s religion, sex, </w:t>
      </w:r>
      <w:r>
        <w:rPr>
          <w:rFonts w:eastAsia="Times New Roman" w:cs="Times New Roman"/>
          <w:szCs w:val="20"/>
          <w:u w:val="single"/>
        </w:rPr>
        <w:t>sexual orientation, gender identity,</w:t>
      </w:r>
      <w:r>
        <w:rPr>
          <w:rFonts w:eastAsia="Times New Roman" w:cs="Times New Roman"/>
          <w:szCs w:val="20"/>
        </w:rPr>
        <w:t xml:space="preserve"> or national origin in those certain instances where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reasonably necessary to the normal operation of that particular business or enterprise. </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rFonts w:eastAsia="Times New Roman" w:cs="Times New Roman"/>
          <w:szCs w:val="20"/>
          <w:u w:val="single"/>
        </w:rPr>
        <w:t>sexual orientation, gender identity,</w:t>
      </w:r>
      <w:r>
        <w:rPr>
          <w:rFonts w:eastAsia="Times New Roman" w:cs="Times New Roman"/>
          <w:szCs w:val="20"/>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 </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Nothing contained in this chapter may be interpreted to require an employer, employment agency, labor organization, or joint labor</w:t>
      </w:r>
      <w:r>
        <w:rPr>
          <w:rFonts w:eastAsia="Times New Roman" w:cs="Times New Roman"/>
          <w:szCs w:val="20"/>
        </w:rPr>
        <w:noBreakHyphen/>
        <w:t xml:space="preserve">management committee subject to this chapter to grant preferential treatment to an individual or to a group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of the individual or group on account of an imbalance which may exist with respect to the total number or percentage of persons of a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 community, state, section, or other area or in the available work force in a community, state, section, or other area.”</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E.</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90(d)(9) and (e) of the 1976 Code is amended to read:</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age or national origin in violation of this chapter, or discrimination in violation of subsection (e) of Section 1</w:t>
      </w:r>
      <w:r>
        <w:rPr>
          <w:rFonts w:eastAsia="Times New Roman" w:cs="Times New Roman"/>
          <w:szCs w:val="20"/>
        </w:rPr>
        <w:noBreakHyphen/>
        <w:t>13</w:t>
      </w:r>
      <w:r>
        <w:rPr>
          <w:rFonts w:eastAsia="Times New Roman" w:cs="Times New Roman"/>
          <w:szCs w:val="20"/>
        </w:rPr>
        <w:noBreakHyphen/>
        <w:t xml:space="preserve">80.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For complaints of the existence or occurrence of a practice asserted to be discriminatory on the basis of race, religion, color, age, sex, </w:t>
      </w:r>
      <w:r>
        <w:rPr>
          <w:rFonts w:eastAsia="Times New Roman" w:cs="Times New Roman"/>
          <w:szCs w:val="20"/>
          <w:u w:val="single"/>
        </w:rPr>
        <w:t>sexual orientation, gender identity,</w:t>
      </w:r>
      <w:r>
        <w:rPr>
          <w:rFonts w:eastAsia="Times New Roman" w:cs="Times New Roman"/>
          <w:szCs w:val="20"/>
        </w:rPr>
        <w:t xml:space="preserve"> national origin, or disability, other than those discriminatory practices declared unlawful by Section 1</w:t>
      </w:r>
      <w:r>
        <w:rPr>
          <w:rFonts w:eastAsia="Times New Roman" w:cs="Times New Roman"/>
          <w:szCs w:val="20"/>
        </w:rPr>
        <w:noBreakHyphen/>
        <w:t>13</w:t>
      </w:r>
      <w:r>
        <w:rPr>
          <w:rFonts w:eastAsia="Times New Roman" w:cs="Times New Roman"/>
          <w:szCs w:val="20"/>
        </w:rPr>
        <w:noBreakHyphen/>
        <w:t xml:space="preserve">80, or of any other dispute regarding human affairs, the procedure of the commission is as follows: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F. </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100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100.</w:t>
      </w:r>
      <w:r>
        <w:rPr>
          <w:rFonts w:eastAsia="Times New Roman" w:cs="Times New Roman"/>
          <w:bCs/>
          <w:szCs w:val="20"/>
        </w:rPr>
        <w:tab/>
      </w:r>
      <w:r>
        <w:rPr>
          <w:rFonts w:eastAsia="Times New Roman" w:cs="Times New Roman"/>
          <w:szCs w:val="20"/>
        </w:rPr>
        <w:t>Nothing in this chapter may be construed to create a cause of action other than those specifically described in Section 1</w:t>
      </w:r>
      <w:r>
        <w:rPr>
          <w:rFonts w:eastAsia="Times New Roman" w:cs="Times New Roman"/>
          <w:szCs w:val="20"/>
        </w:rPr>
        <w:noBreakHyphen/>
        <w:t>13</w:t>
      </w:r>
      <w:r>
        <w:rPr>
          <w:rFonts w:eastAsia="Times New Roman" w:cs="Times New Roman"/>
          <w:szCs w:val="20"/>
        </w:rPr>
        <w:noBreakHyphen/>
        <w:t xml:space="preserve">90 of this chapter.  Nothing in this chapter may be construed to create a cause of action against a person not covered by Title VII of the Civil Rights Act of 1964, as amended, 42 U. S. C. Section 2000e et seq., if the cause of action arises from discrimination on the basis of race, color, religion, sex,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may be construed to create a cause of action against a person not covered by the Age Discrimination in Employment Act of 1967, as amended, 29 U. S. C. Section 621 et seq., if the cause of action arises from discrimination on the basis of age.  Nothing in this chapter may be construed to create a cause of action against a person not covered by the Americans with Disabilities Act of 1990, as amended, Public Law 101</w:t>
      </w:r>
      <w:r>
        <w:rPr>
          <w:rFonts w:eastAsia="Times New Roman" w:cs="Times New Roman"/>
          <w:szCs w:val="20"/>
        </w:rPr>
        <w:noBreakHyphen/>
        <w:t>336.”</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30 of the 1976 Code is amended by adding appropriately numbered items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r>
      <w:r>
        <w:rPr>
          <w:rFonts w:eastAsia="Times New Roman" w:cs="Times New Roman"/>
          <w:bCs/>
          <w:szCs w:val="20"/>
        </w:rPr>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 xml:space="preserve">B. </w:t>
      </w: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31</w:t>
      </w:r>
      <w:r>
        <w:rPr>
          <w:rFonts w:eastAsia="Times New Roman" w:cs="Times New Roman"/>
          <w:bCs/>
          <w:szCs w:val="20"/>
        </w:rPr>
        <w:noBreakHyphen/>
        <w:t>21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 xml:space="preserve">It is unlawful: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to refuse to sell or rent after the making of a bona fide offer, to refuse to negotiate for the sale or rental of, or otherwise to make unavailable or deny a dwelling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to discriminate against any person in the terms, conditions, or privileges of sale or rental of a dwelling, or in the provision of services or facilities in connection with it, because of race, color, religion, sex, </w:t>
      </w:r>
      <w:r>
        <w:rPr>
          <w:rFonts w:eastAsia="Times New Roman" w:cs="Times New Roman"/>
          <w:szCs w:val="20"/>
          <w:u w:val="single"/>
        </w:rPr>
        <w:t>sexual orientation, gender identity,</w:t>
      </w:r>
      <w:r>
        <w:rPr>
          <w:rFonts w:eastAsia="Times New Roman" w:cs="Times New Roman"/>
          <w:szCs w:val="20"/>
        </w:rPr>
        <w:t xml:space="preserve"> familial status, or national origin;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make, print, or publish, or cause to be made, printed, or published, any notice, statement, or advertisement with respect to the sale or rental of a dwelling that indicates any preference, limitation,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or an intention to make the preference, limitation, or discrimination;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to represent to any person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that any dwelling is not available for inspection, sale, or rental when the dwelling is available;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for profit, to induce or attempt to induce any person to sell or rent any dwelling by representations regarding the entry or prospective entry into the neighborhood of a person or persons of a particular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discriminate in the sale or rental, or to otherwise make unavailable or deny, a dwelling to any buyer or renter because of a handicap of: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buyer or renter;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any person associated with that buyer or renter;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to discriminate against a person in the terms, conditions, or privileges of sale or rental of a dwelling, or in the provision of services or facilities in connection with the dwelling, because of a handicap of: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that person;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a person residing in or intending to reside in that dwelling after it is sold, rented, or made available;  or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any person associated with that person.”</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w:t>
      </w:r>
      <w:r>
        <w:rPr>
          <w:rFonts w:eastAsia="Times New Roman" w:cs="Times New Roman"/>
          <w:szCs w:val="20"/>
        </w:rPr>
        <w:tab/>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50.</w:t>
      </w:r>
      <w:r>
        <w:rPr>
          <w:rFonts w:eastAsia="Times New Roman" w:cs="Times New Roman"/>
          <w:szCs w:val="20"/>
        </w:rPr>
        <w:tab/>
        <w:t>It is unlawful to deny any person access to, or membership or participation in, any multiple</w:t>
      </w:r>
      <w:r>
        <w:rPr>
          <w:rFonts w:eastAsia="Times New Roman" w:cs="Times New Roman"/>
          <w:szCs w:val="20"/>
        </w:rPr>
        <w:noBreakHyphen/>
        <w:t xml:space="preserve">listing service, real estate brokers’ organization, or other service, organization, or facility relating to the business of selling or renting dwellings or to discriminate against him in the terms or conditions of the access, membership, or participation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It is unlawful for any person or other entity whose business includes engaging in residential real estate</w:t>
      </w:r>
      <w:r>
        <w:rPr>
          <w:rFonts w:eastAsia="Times New Roman" w:cs="Times New Roman"/>
          <w:szCs w:val="20"/>
        </w:rPr>
        <w:noBreakHyphen/>
        <w:t xml:space="preserve">related transactions to discriminate against any person in making available such a transaction, or in the terms or conditions of the transaction, because of race, color, religion, sex, </w:t>
      </w:r>
      <w:r>
        <w:rPr>
          <w:rFonts w:eastAsia="Times New Roman" w:cs="Times New Roman"/>
          <w:szCs w:val="20"/>
          <w:u w:val="single"/>
        </w:rPr>
        <w:t>sexual orientation, gender identity,</w:t>
      </w:r>
      <w:r>
        <w:rPr>
          <w:rFonts w:eastAsia="Times New Roman" w:cs="Times New Roman"/>
          <w:szCs w:val="20"/>
        </w:rPr>
        <w:t xml:space="preserve"> handicap, familial status, or national origin.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‘residential real estate</w:t>
      </w:r>
      <w:r>
        <w:rPr>
          <w:rFonts w:eastAsia="Times New Roman" w:cs="Times New Roman"/>
          <w:szCs w:val="20"/>
        </w:rPr>
        <w:noBreakHyphen/>
        <w:t xml:space="preserve">related transaction’ means any of the following: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making or purchasing of loans or providing other financial assistance: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for purchasing, constructing, improving, repairing, or maintaining a dwelling;  or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secured by residential real estate;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selling, brokering, or appraising of residential real property.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prohibits a person engaged in the business of furnishing appraisals of real property to take into consideration factors other than race, color, religion, national origin, sex, </w:t>
      </w:r>
      <w:r>
        <w:rPr>
          <w:rFonts w:eastAsia="Times New Roman" w:cs="Times New Roman"/>
          <w:szCs w:val="20"/>
          <w:u w:val="single"/>
        </w:rPr>
        <w:t>sexual orientation, gender identity,</w:t>
      </w:r>
      <w:r>
        <w:rPr>
          <w:rFonts w:eastAsia="Times New Roman" w:cs="Times New Roman"/>
          <w:szCs w:val="20"/>
        </w:rPr>
        <w:t xml:space="preserve"> handicap, or familial status.”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E. </w:t>
      </w:r>
      <w:r>
        <w:rPr>
          <w:rFonts w:eastAsia="Times New Roman" w:cs="Times New Roman"/>
          <w:szCs w:val="20"/>
        </w:rPr>
        <w:tab/>
        <w:t>Section 31</w:t>
      </w:r>
      <w:r>
        <w:rPr>
          <w:rFonts w:eastAsia="Times New Roman" w:cs="Times New Roman"/>
          <w:szCs w:val="20"/>
        </w:rPr>
        <w:noBreakHyphen/>
        <w:t>21</w:t>
      </w:r>
      <w:r>
        <w:rPr>
          <w:rFonts w:eastAsia="Times New Roman" w:cs="Times New Roman"/>
          <w:szCs w:val="20"/>
        </w:rPr>
        <w:noBreakHyphen/>
        <w:t>70(D) of the 1976 Code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Nothing in this chapter prohibits a religious organization, association, or society, or any nonprofit institution or organization operated, supervised, or controlled by or in conjunction with a religious organization, association, or society, from limiting the sale, rental, or occupancy of any dwelling which it owns or operates for other than a commercial purpose to persons of the same religion or from giving preference to those persons, unless membership in the religion is restricted because of race, color,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prohibits a private club not in fact open to the public, which as an incident to its primary purpose provides lodgings which it owns or operates for other than a commercial purpose, from limiting the rental or occupancy of the lodgings to its members or from giving preference to its members.”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20 of the 1976 Code as added by Act 446 of 1994, is amended by adding appropriately numbered items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B. </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30(B) of the 1976 Code, as added by Act 446 of 1994,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innkeeper refusing or denying accommodations, facilities, or privileges of a lodging establishment for any of the reasons specified in items (1) through (5) of this section may not be determined liable in any civil or criminal action or for any fine or penalty based upon the refusal or denial, except that the accommodation, facilities, or privilege of a lodging establishment may not be refused or denied based upon a person’s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C. </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60(6) of the 1976 Code, as added by Act 446 of 1994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violation of a rule of the lodging establishment which is posted in a conspicuous place and manner in the lodging establishment in accordance with Section 45</w:t>
      </w:r>
      <w:r>
        <w:rPr>
          <w:rFonts w:eastAsia="Times New Roman" w:cs="Times New Roman"/>
          <w:szCs w:val="20"/>
        </w:rPr>
        <w:noBreakHyphen/>
        <w:t>2</w:t>
      </w:r>
      <w:r>
        <w:rPr>
          <w:rFonts w:eastAsia="Times New Roman" w:cs="Times New Roman"/>
          <w:szCs w:val="20"/>
        </w:rPr>
        <w:noBreakHyphen/>
        <w:t xml:space="preserve">70, but no rule may authorize the innkeeper to eject or to refuse or deny service or accommodations to a person because of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D.</w:t>
      </w:r>
      <w:r>
        <w:rPr>
          <w:rFonts w:eastAsia="Times New Roman" w:cs="Times New Roman"/>
          <w:szCs w:val="20"/>
        </w:rPr>
        <w:tab/>
        <w:t xml:space="preserve"> </w:t>
      </w:r>
      <w:r>
        <w:rPr>
          <w:rFonts w:eastAsia="Times New Roman" w:cs="Times New Roman"/>
          <w:szCs w:val="20"/>
        </w:rPr>
        <w:tab/>
        <w:t>Section 45</w:t>
      </w:r>
      <w:r>
        <w:rPr>
          <w:rFonts w:eastAsia="Times New Roman" w:cs="Times New Roman"/>
          <w:szCs w:val="20"/>
        </w:rPr>
        <w:noBreakHyphen/>
        <w:t>9</w:t>
      </w:r>
      <w:r>
        <w:rPr>
          <w:rFonts w:eastAsia="Times New Roman" w:cs="Times New Roman"/>
          <w:szCs w:val="20"/>
        </w:rPr>
        <w:noBreakHyphen/>
        <w:t>10(A) of the 1976 Code, as added by Act 423 of 1990 is amended to read: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religion, </w:t>
      </w:r>
      <w:r>
        <w:rPr>
          <w:rFonts w:eastAsia="Times New Roman" w:cs="Times New Roman"/>
          <w:strike/>
          <w:szCs w:val="20"/>
        </w:rPr>
        <w:t>or</w:t>
      </w:r>
      <w:r>
        <w:rPr>
          <w:rFonts w:eastAsia="Times New Roman" w:cs="Times New Roman"/>
          <w:szCs w:val="20"/>
        </w:rPr>
        <w:t xml:space="preserve"> national origin</w:t>
      </w:r>
      <w:r>
        <w:rPr>
          <w:rFonts w:eastAsia="Times New Roman" w:cs="Times New Roman"/>
          <w:szCs w:val="20"/>
          <w:u w:val="single"/>
        </w:rPr>
        <w:t>, sexual orientation, or gender identity</w:t>
      </w:r>
      <w:r>
        <w:rPr>
          <w:rFonts w:eastAsia="Times New Roman" w:cs="Times New Roman"/>
          <w:szCs w:val="20"/>
        </w:rPr>
        <w:t>.”</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Chapter 3, Title 16 of the 1976 Code is amended by adding:</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“Article 18</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Hate Crimes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1900.</w:t>
      </w:r>
      <w:r>
        <w:rPr>
          <w:rFonts w:eastAsia="Times New Roman" w:cs="Times New Roman"/>
          <w:szCs w:val="20"/>
        </w:rPr>
        <w:tab/>
        <w:t>(A)</w:t>
      </w:r>
      <w:r>
        <w:rPr>
          <w:rFonts w:eastAsia="Times New Roman" w:cs="Times New Roman"/>
          <w:szCs w:val="20"/>
        </w:rPr>
        <w:tab/>
        <w:t>A person who is convicted of an noncapital offense contained in this chapter, who was motivated by hate in the commission of the offense, is guilty of a felony offense separate from the base offense and, upon conviction, must be punished in accordance with the following:</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if the base offense is a misdemeanor, the person must be fined not less than two thousand dollars or more than ten thousand dollars or imprisoned not less than ninety days and not more than six months, or both;</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the base offense is a felony for which the penalty could be imprisonment for not more than ten years, the person must be imprisoned not less than six months and not more than one year;</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base offense is a felony for which the penalty could be imprisonment for not more than thirty years, excluding those offenses for which imprisonment could be for not more than ten years, the person must be imprisoned not less than one year and not more than two years;</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conviction of a second offense of the crime established pursuant to this section, regardless of whether the base offense in the first or second conviction was a misdemeanor or a felony, the person must be imprisoned not less than two years and not more than five years.</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ab/>
        <w:t>(1)</w:t>
      </w:r>
      <w:r>
        <w:rPr>
          <w:rFonts w:eastAsia="MS Mincho" w:cs="Times New Roman"/>
          <w:szCs w:val="20"/>
        </w:rPr>
        <w:tab/>
        <w:t xml:space="preserve">‘Age’ means sixty years of age or older.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‘Base offense’ means the offense contained in this chapter for which the person was convicted and the commission of which was motivated by hate.</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‘Disability’ means that the person has a physical or mental impairment that substantially limits one or more of the major life activities of the person including, but not limited to, caring for himself, performing manual tasks, walking, seeing, hearing, speaking, breathing, learning, and working.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‘Gender identity’ means a person’s self</w:t>
      </w:r>
      <w:r>
        <w:rPr>
          <w:rFonts w:eastAsia="MS Mincho" w:cs="Times New Roman"/>
          <w:szCs w:val="20"/>
        </w:rPr>
        <w:noBreakHyphen/>
        <w:t>perception, or perception of that person by another, of the person’s identity as a male or female based upon the person’s appearance, behavior, or physical characteristics that are in accord or opposed to the person’s physical anatomy, chromosomal sex, or sex at birth.</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‘Motivated by hate’ means the commission of a crime contained in this chapter with the intent to commit the crime because of the actual or perceived race, religion, color, national origin, ancestry, age, disability, gender, sexual orientation, or gender identity of the victim, whether or not the offender’s belief or perception was correct. </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‘Sexual orientation’ means heterosexuality, homosexuality, or bisexuality, whether actual or perceived.”</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56A3F" w:rsidRDefault="0035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356A3F" w:rsidRDefault="0084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356A3F" w:rsidSect="00356A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A3F" w:rsidRDefault="00843A2D">
      <w:r>
        <w:separator/>
      </w:r>
    </w:p>
  </w:endnote>
  <w:endnote w:type="continuationSeparator" w:id="0">
    <w:p w:rsidR="00356A3F" w:rsidRDefault="0084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BFD768-736C-4508-8C9F-C4E691A122F2}"/>
    <w:embedBold r:id="rId2" w:fontKey="{38B7E56B-BDF2-4436-B8B3-196AFF55203D}"/>
  </w:font>
  <w:font w:name="Calibri">
    <w:panose1 w:val="020F0502020204030204"/>
    <w:charset w:val="00"/>
    <w:family w:val="swiss"/>
    <w:pitch w:val="variable"/>
    <w:sig w:usb0="E10002FF" w:usb1="4000ACFF" w:usb2="00000009" w:usb3="00000000" w:csb0="0000019F" w:csb1="00000000"/>
    <w:embedRegular r:id="rId3" w:fontKey="{257779D2-1AE8-439E-B10E-88DA41159861}"/>
    <w:embedBold r:id="rId4" w:fontKey="{CA6427CA-FBFE-4681-A12A-A7177B6F9460}"/>
  </w:font>
  <w:font w:name="Tahoma">
    <w:panose1 w:val="020B0604030504040204"/>
    <w:charset w:val="00"/>
    <w:family w:val="swiss"/>
    <w:pitch w:val="variable"/>
    <w:sig w:usb0="21002A87" w:usb1="80000000" w:usb2="00000008" w:usb3="00000000" w:csb0="000101FF" w:csb1="00000000"/>
    <w:embedRegular r:id="rId5" w:fontKey="{797E503C-AE53-4CA4-8447-E1C7901A217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A94E4FB5-ADC9-419B-9883-789669903B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A3F" w:rsidRDefault="00843A2D">
    <w:pPr>
      <w:pStyle w:val="Footer"/>
      <w:tabs>
        <w:tab w:val="clear" w:pos="4680"/>
        <w:tab w:val="clear" w:pos="9360"/>
        <w:tab w:val="center" w:pos="2995"/>
      </w:tabs>
      <w:spacing w:before="120"/>
    </w:pPr>
    <w:r>
      <w:t>[76]</w:t>
    </w:r>
    <w:r>
      <w:tab/>
    </w:r>
    <w:r w:rsidR="006A2C26">
      <w:fldChar w:fldCharType="begin"/>
    </w:r>
    <w:r w:rsidR="006A2C26">
      <w:instrText xml:space="preserve"> PAGE  \* MERGEFORMAT </w:instrText>
    </w:r>
    <w:r w:rsidR="006A2C26">
      <w:fldChar w:fldCharType="separate"/>
    </w:r>
    <w:r w:rsidR="006A2C26">
      <w:rPr>
        <w:noProof/>
      </w:rPr>
      <w:t>1</w:t>
    </w:r>
    <w:r w:rsidR="006A2C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A3F" w:rsidRDefault="00843A2D">
      <w:r>
        <w:separator/>
      </w:r>
    </w:p>
  </w:footnote>
  <w:footnote w:type="continuationSeparator" w:id="0">
    <w:p w:rsidR="00356A3F" w:rsidRDefault="00843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56A3F"/>
    <w:rsid w:val="00356A3F"/>
    <w:rsid w:val="00411C78"/>
    <w:rsid w:val="004433EE"/>
    <w:rsid w:val="006A2C26"/>
    <w:rsid w:val="00843A2D"/>
    <w:rsid w:val="00850AF2"/>
    <w:rsid w:val="00AE19AB"/>
    <w:rsid w:val="00D74347"/>
    <w:rsid w:val="00D75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514411-82DF-43D8-8E23-49D7E2E0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A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6A3F"/>
    <w:rPr>
      <w:szCs w:val="21"/>
    </w:rPr>
  </w:style>
  <w:style w:type="character" w:customStyle="1" w:styleId="PlainTextChar">
    <w:name w:val="Plain Text Char"/>
    <w:basedOn w:val="DefaultParagraphFont"/>
    <w:link w:val="PlainText"/>
    <w:uiPriority w:val="99"/>
    <w:rsid w:val="00356A3F"/>
    <w:rPr>
      <w:szCs w:val="21"/>
    </w:rPr>
  </w:style>
  <w:style w:type="paragraph" w:styleId="BodyText">
    <w:name w:val="Body Text"/>
    <w:basedOn w:val="Normal"/>
    <w:link w:val="BodyTextChar"/>
    <w:uiPriority w:val="99"/>
    <w:locked/>
    <w:rsid w:val="00356A3F"/>
  </w:style>
  <w:style w:type="character" w:customStyle="1" w:styleId="BodyTextChar">
    <w:name w:val="Body Text Char"/>
    <w:basedOn w:val="DefaultParagraphFont"/>
    <w:link w:val="BodyText"/>
    <w:uiPriority w:val="99"/>
    <w:rsid w:val="00356A3F"/>
  </w:style>
  <w:style w:type="paragraph" w:styleId="BalloonText">
    <w:name w:val="Balloon Text"/>
    <w:next w:val="Normal"/>
    <w:link w:val="BalloonTextChar"/>
    <w:uiPriority w:val="99"/>
    <w:unhideWhenUsed/>
    <w:rsid w:val="00356A3F"/>
    <w:rPr>
      <w:rFonts w:cs="Tahoma"/>
      <w:szCs w:val="16"/>
    </w:rPr>
  </w:style>
  <w:style w:type="character" w:customStyle="1" w:styleId="BalloonTextChar">
    <w:name w:val="Balloon Text Char"/>
    <w:basedOn w:val="DefaultParagraphFont"/>
    <w:link w:val="BalloonText"/>
    <w:uiPriority w:val="99"/>
    <w:rsid w:val="00356A3F"/>
    <w:rPr>
      <w:rFonts w:cs="Tahoma"/>
      <w:szCs w:val="16"/>
    </w:rPr>
  </w:style>
  <w:style w:type="paragraph" w:styleId="NormalWeb">
    <w:name w:val="Normal (Web)"/>
    <w:basedOn w:val="Normal"/>
    <w:next w:val="Normal"/>
    <w:semiHidden/>
    <w:locked/>
    <w:rsid w:val="00356A3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356A3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356A3F"/>
    <w:rPr>
      <w:rFonts w:eastAsia="Times New Roman" w:cs="Times New Roman"/>
      <w:szCs w:val="20"/>
    </w:rPr>
  </w:style>
  <w:style w:type="paragraph" w:styleId="Header">
    <w:name w:val="header"/>
    <w:basedOn w:val="Normal"/>
    <w:link w:val="HeaderChar"/>
    <w:uiPriority w:val="99"/>
    <w:semiHidden/>
    <w:unhideWhenUsed/>
    <w:locked/>
    <w:rsid w:val="00356A3F"/>
    <w:pPr>
      <w:tabs>
        <w:tab w:val="center" w:pos="4680"/>
        <w:tab w:val="right" w:pos="9360"/>
      </w:tabs>
    </w:pPr>
  </w:style>
  <w:style w:type="character" w:customStyle="1" w:styleId="HeaderChar">
    <w:name w:val="Header Char"/>
    <w:basedOn w:val="DefaultParagraphFont"/>
    <w:link w:val="Header"/>
    <w:uiPriority w:val="99"/>
    <w:semiHidden/>
    <w:rsid w:val="00356A3F"/>
  </w:style>
  <w:style w:type="character" w:styleId="LineNumber">
    <w:name w:val="line number"/>
    <w:basedOn w:val="DefaultParagraphFont"/>
    <w:uiPriority w:val="99"/>
    <w:semiHidden/>
    <w:unhideWhenUsed/>
    <w:locked/>
    <w:rsid w:val="00356A3F"/>
  </w:style>
  <w:style w:type="character" w:styleId="Hyperlink">
    <w:name w:val="Hyperlink"/>
    <w:basedOn w:val="DefaultParagraphFont"/>
    <w:uiPriority w:val="99"/>
    <w:unhideWhenUsed/>
    <w:locked/>
    <w:rsid w:val="00356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4559</Words>
  <Characters>24857</Characters>
  <Application>Microsoft Office Word</Application>
  <DocSecurity>0</DocSecurity>
  <Lines>588</Lines>
  <Paragraphs>111</Paragraphs>
  <ScaleCrop>false</ScaleCrop>
  <Company>Project Management</Company>
  <LinksUpToDate>false</LinksUpToDate>
  <CharactersWithSpaces>29488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76: Discrimination - South Carolina Legislature Online</dc:title>
  <dc:subject/>
  <dc:creator>NSC</dc:creator>
  <cp:keywords/>
  <dc:description/>
  <cp:lastModifiedBy>N Cumfer</cp:lastModifiedBy>
  <cp:revision>14</cp:revision>
  <dcterms:created xsi:type="dcterms:W3CDTF">2008-12-10T20:05:00Z</dcterms:created>
  <dcterms:modified xsi:type="dcterms:W3CDTF">2014-11-24T14:53:00Z</dcterms:modified>
</cp:coreProperties>
</file>