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496" w:rsidRDefault="00DE178D">
      <w:pPr>
        <w:widowControl w:val="0"/>
        <w:jc w:val="center"/>
      </w:pPr>
      <w:bookmarkStart w:id="0" w:name="_GoBack"/>
      <w:bookmarkEnd w:id="0"/>
      <w:r>
        <w:rPr>
          <w:b/>
        </w:rPr>
        <w:t>South Carolina General Assembly</w:t>
      </w:r>
    </w:p>
    <w:p w:rsidR="009F1496" w:rsidRDefault="00DE178D">
      <w:pPr>
        <w:widowControl w:val="0"/>
        <w:jc w:val="center"/>
      </w:pPr>
      <w:r>
        <w:t>118th Session, 2009-2010</w:t>
      </w:r>
    </w:p>
    <w:p w:rsidR="009F1496" w:rsidRDefault="009F1496">
      <w:pPr>
        <w:widowControl w:val="0"/>
        <w:jc w:val="left"/>
      </w:pPr>
    </w:p>
    <w:p w:rsidR="009F1496" w:rsidRDefault="00DE178D">
      <w:pPr>
        <w:widowControl w:val="0"/>
        <w:jc w:val="left"/>
        <w:rPr>
          <w:b/>
        </w:rPr>
      </w:pPr>
      <w:r>
        <w:rPr>
          <w:b/>
        </w:rPr>
        <w:t>S. 879</w:t>
      </w:r>
    </w:p>
    <w:p w:rsidR="009F1496" w:rsidRDefault="009F1496">
      <w:pPr>
        <w:widowControl w:val="0"/>
        <w:jc w:val="left"/>
        <w:rPr>
          <w:b/>
        </w:rPr>
      </w:pPr>
    </w:p>
    <w:p w:rsidR="009F1496" w:rsidRDefault="00DE178D">
      <w:pPr>
        <w:widowControl w:val="0"/>
        <w:jc w:val="left"/>
      </w:pPr>
      <w:r>
        <w:rPr>
          <w:b/>
        </w:rPr>
        <w:t>STATUS INFORMATION</w:t>
      </w:r>
    </w:p>
    <w:p w:rsidR="009F1496" w:rsidRDefault="009F1496">
      <w:pPr>
        <w:widowControl w:val="0"/>
        <w:jc w:val="left"/>
      </w:pPr>
    </w:p>
    <w:p w:rsidR="009F1496" w:rsidRDefault="00DE178D">
      <w:pPr>
        <w:widowControl w:val="0"/>
        <w:jc w:val="left"/>
      </w:pPr>
      <w:r>
        <w:t>General Bill</w:t>
      </w:r>
    </w:p>
    <w:p w:rsidR="009F1496" w:rsidRDefault="00DE178D">
      <w:pPr>
        <w:widowControl w:val="0"/>
        <w:jc w:val="left"/>
      </w:pPr>
      <w:r>
        <w:t>Sponsors: Senator Campsen</w:t>
      </w:r>
    </w:p>
    <w:p w:rsidR="009F1496" w:rsidRDefault="00DE178D">
      <w:pPr>
        <w:widowControl w:val="0"/>
        <w:jc w:val="left"/>
      </w:pPr>
      <w:r>
        <w:t>Document Path: l:\council\bills\bbm\9419htc09.docx</w:t>
      </w:r>
    </w:p>
    <w:p w:rsidR="009F1496" w:rsidRDefault="009F1496">
      <w:pPr>
        <w:widowControl w:val="0"/>
        <w:jc w:val="left"/>
      </w:pPr>
    </w:p>
    <w:p w:rsidR="005B3A52" w:rsidRDefault="005B3A52">
      <w:pPr>
        <w:widowControl w:val="0"/>
        <w:jc w:val="left"/>
      </w:pPr>
      <w:r>
        <w:t>Introduced in the Senate on May 21, 2009</w:t>
      </w:r>
    </w:p>
    <w:p w:rsidR="005B3A52" w:rsidRDefault="005B3A52">
      <w:pPr>
        <w:widowControl w:val="0"/>
        <w:jc w:val="left"/>
      </w:pPr>
      <w:r>
        <w:t>Introduced in the House on March 9, 2010</w:t>
      </w:r>
    </w:p>
    <w:p w:rsidR="005B3A52" w:rsidRDefault="005B3A52">
      <w:pPr>
        <w:widowControl w:val="0"/>
        <w:jc w:val="left"/>
      </w:pPr>
      <w:r>
        <w:t>Last Amended on June 1, 2010</w:t>
      </w:r>
    </w:p>
    <w:p w:rsidR="005B3A52" w:rsidRDefault="005B3A52">
      <w:pPr>
        <w:widowControl w:val="0"/>
        <w:jc w:val="left"/>
      </w:pPr>
      <w:r>
        <w:t>Currently residing in the House</w:t>
      </w:r>
    </w:p>
    <w:p w:rsidR="005B3A52" w:rsidRDefault="005B3A52">
      <w:pPr>
        <w:widowControl w:val="0"/>
        <w:jc w:val="left"/>
      </w:pPr>
    </w:p>
    <w:p w:rsidR="009F1496" w:rsidRDefault="00DE178D">
      <w:pPr>
        <w:widowControl w:val="0"/>
        <w:jc w:val="left"/>
      </w:pPr>
      <w:r>
        <w:t>Summary: Property taxation</w:t>
      </w:r>
    </w:p>
    <w:p w:rsidR="009F1496" w:rsidRDefault="009F1496">
      <w:pPr>
        <w:widowControl w:val="0"/>
        <w:jc w:val="left"/>
      </w:pPr>
    </w:p>
    <w:p w:rsidR="009F1496" w:rsidRDefault="009F1496">
      <w:pPr>
        <w:widowControl w:val="0"/>
        <w:jc w:val="left"/>
      </w:pPr>
    </w:p>
    <w:p w:rsidR="009F1496" w:rsidRDefault="00DE178D">
      <w:pPr>
        <w:widowControl w:val="0"/>
        <w:tabs>
          <w:tab w:val="center" w:pos="590"/>
          <w:tab w:val="center" w:pos="1440"/>
          <w:tab w:val="left" w:pos="1872"/>
          <w:tab w:val="left" w:pos="9187"/>
        </w:tabs>
        <w:jc w:val="left"/>
      </w:pPr>
      <w:r>
        <w:rPr>
          <w:b/>
        </w:rPr>
        <w:t>HISTORY OF LEGISLATIVE ACTIONS</w:t>
      </w:r>
    </w:p>
    <w:p w:rsidR="009F1496" w:rsidRDefault="009F1496">
      <w:pPr>
        <w:widowControl w:val="0"/>
        <w:tabs>
          <w:tab w:val="center" w:pos="590"/>
          <w:tab w:val="center" w:pos="1440"/>
          <w:tab w:val="left" w:pos="1872"/>
          <w:tab w:val="left" w:pos="9187"/>
        </w:tabs>
        <w:jc w:val="left"/>
      </w:pPr>
    </w:p>
    <w:p w:rsidR="009F1496" w:rsidRDefault="00DE178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D12C3" w:rsidRDefault="002D12C3" w:rsidP="002D12C3">
      <w:pPr>
        <w:widowControl w:val="0"/>
        <w:tabs>
          <w:tab w:val="right" w:pos="1008"/>
          <w:tab w:val="left" w:pos="1152"/>
          <w:tab w:val="left" w:pos="1872"/>
          <w:tab w:val="left" w:pos="9187"/>
        </w:tabs>
        <w:ind w:left="2088" w:hanging="2088"/>
        <w:jc w:val="left"/>
      </w:pPr>
      <w:r>
        <w:tab/>
        <w:t>5/21/2009</w:t>
      </w:r>
      <w:r>
        <w:tab/>
        <w:t>Senate</w:t>
      </w:r>
      <w:r>
        <w:tab/>
      </w:r>
      <w:r w:rsidRPr="00FF58D6">
        <w:t xml:space="preserve">Introduced and read first time </w:t>
      </w:r>
      <w:hyperlink r:id="rId7" w:history="1">
        <w:r w:rsidRPr="00503102">
          <w:rPr>
            <w:rStyle w:val="Hyperlink"/>
          </w:rPr>
          <w:t>SJ</w:t>
        </w:r>
      </w:hyperlink>
      <w:r>
        <w:noBreakHyphen/>
      </w:r>
      <w:r w:rsidRPr="00FF58D6">
        <w:t>6</w:t>
      </w:r>
    </w:p>
    <w:p w:rsidR="002D12C3" w:rsidRDefault="002D12C3" w:rsidP="002D12C3">
      <w:pPr>
        <w:widowControl w:val="0"/>
        <w:tabs>
          <w:tab w:val="right" w:pos="1008"/>
          <w:tab w:val="left" w:pos="1152"/>
          <w:tab w:val="left" w:pos="1872"/>
          <w:tab w:val="left" w:pos="9187"/>
        </w:tabs>
        <w:ind w:left="2088" w:hanging="2088"/>
        <w:jc w:val="left"/>
      </w:pPr>
      <w:r>
        <w:tab/>
        <w:t>5/21/2009</w:t>
      </w:r>
      <w:r>
        <w:tab/>
        <w:t>Senate</w:t>
      </w:r>
      <w:r>
        <w:tab/>
      </w:r>
      <w:r w:rsidRPr="00FF58D6">
        <w:t xml:space="preserve">Referred to Committee on </w:t>
      </w:r>
      <w:r w:rsidRPr="00FF58D6">
        <w:rPr>
          <w:b/>
        </w:rPr>
        <w:t>Finance</w:t>
      </w:r>
      <w:r w:rsidRPr="00FF58D6">
        <w:t xml:space="preserve"> </w:t>
      </w:r>
      <w:hyperlink r:id="rId8" w:history="1">
        <w:r w:rsidRPr="00503102">
          <w:rPr>
            <w:rStyle w:val="Hyperlink"/>
          </w:rPr>
          <w:t>SJ</w:t>
        </w:r>
      </w:hyperlink>
      <w:r>
        <w:noBreakHyphen/>
      </w:r>
      <w:r w:rsidRPr="00FF58D6">
        <w:t>6</w:t>
      </w:r>
    </w:p>
    <w:p w:rsidR="002D12C3" w:rsidRDefault="002D12C3" w:rsidP="002D12C3">
      <w:pPr>
        <w:widowControl w:val="0"/>
        <w:tabs>
          <w:tab w:val="right" w:pos="1008"/>
          <w:tab w:val="left" w:pos="1152"/>
          <w:tab w:val="left" w:pos="1872"/>
          <w:tab w:val="left" w:pos="9187"/>
        </w:tabs>
        <w:ind w:left="2088" w:hanging="2088"/>
        <w:jc w:val="left"/>
      </w:pPr>
      <w:r>
        <w:tab/>
        <w:t>3/3/2010</w:t>
      </w:r>
      <w:r>
        <w:tab/>
        <w:t>Senate</w:t>
      </w:r>
      <w:r>
        <w:tab/>
      </w:r>
      <w:r w:rsidRPr="00FF58D6">
        <w:t xml:space="preserve">Committee report: Favorable with amendment </w:t>
      </w:r>
      <w:r w:rsidRPr="00FF58D6">
        <w:rPr>
          <w:b/>
        </w:rPr>
        <w:t>Finance</w:t>
      </w:r>
      <w:r w:rsidRPr="00FF58D6">
        <w:t xml:space="preserve"> </w:t>
      </w:r>
      <w:hyperlink r:id="rId9" w:history="1">
        <w:r w:rsidRPr="00503102">
          <w:rPr>
            <w:rStyle w:val="Hyperlink"/>
          </w:rPr>
          <w:t>SJ</w:t>
        </w:r>
      </w:hyperlink>
      <w:r>
        <w:noBreakHyphen/>
      </w:r>
      <w:r w:rsidRPr="00FF58D6">
        <w:t>9</w:t>
      </w:r>
    </w:p>
    <w:p w:rsidR="002D12C3" w:rsidRDefault="002D12C3" w:rsidP="002D12C3">
      <w:pPr>
        <w:widowControl w:val="0"/>
        <w:tabs>
          <w:tab w:val="right" w:pos="1008"/>
          <w:tab w:val="left" w:pos="1152"/>
          <w:tab w:val="left" w:pos="1872"/>
          <w:tab w:val="left" w:pos="9187"/>
        </w:tabs>
        <w:ind w:left="2088" w:hanging="2088"/>
        <w:jc w:val="left"/>
      </w:pPr>
      <w:r>
        <w:tab/>
        <w:t>3/4/2010</w:t>
      </w:r>
      <w:r>
        <w:tab/>
        <w:t>Senate</w:t>
      </w:r>
      <w:r>
        <w:tab/>
      </w:r>
      <w:r w:rsidRPr="00FF58D6">
        <w:t xml:space="preserve">Committee Amendment Adopted </w:t>
      </w:r>
      <w:hyperlink r:id="rId10" w:history="1">
        <w:r w:rsidRPr="00503102">
          <w:rPr>
            <w:rStyle w:val="Hyperlink"/>
          </w:rPr>
          <w:t>SJ</w:t>
        </w:r>
      </w:hyperlink>
      <w:r>
        <w:noBreakHyphen/>
      </w:r>
      <w:r w:rsidRPr="00FF58D6">
        <w:t>15</w:t>
      </w:r>
    </w:p>
    <w:p w:rsidR="002D12C3" w:rsidRDefault="002D12C3" w:rsidP="002D12C3">
      <w:pPr>
        <w:widowControl w:val="0"/>
        <w:tabs>
          <w:tab w:val="right" w:pos="1008"/>
          <w:tab w:val="left" w:pos="1152"/>
          <w:tab w:val="left" w:pos="1872"/>
          <w:tab w:val="left" w:pos="9187"/>
        </w:tabs>
        <w:ind w:left="2088" w:hanging="2088"/>
        <w:jc w:val="left"/>
      </w:pPr>
      <w:r>
        <w:tab/>
        <w:t>3/4/2010</w:t>
      </w:r>
      <w:r>
        <w:tab/>
        <w:t>Senate</w:t>
      </w:r>
      <w:r>
        <w:tab/>
      </w:r>
      <w:r w:rsidRPr="00FF58D6">
        <w:t xml:space="preserve">Read second time </w:t>
      </w:r>
      <w:hyperlink r:id="rId11" w:history="1">
        <w:r w:rsidRPr="00503102">
          <w:rPr>
            <w:rStyle w:val="Hyperlink"/>
          </w:rPr>
          <w:t>SJ</w:t>
        </w:r>
      </w:hyperlink>
      <w:r>
        <w:noBreakHyphen/>
      </w:r>
      <w:r w:rsidRPr="00FF58D6">
        <w:t>15</w:t>
      </w:r>
    </w:p>
    <w:p w:rsidR="002D12C3" w:rsidRDefault="002D12C3" w:rsidP="002D12C3">
      <w:pPr>
        <w:widowControl w:val="0"/>
        <w:tabs>
          <w:tab w:val="right" w:pos="1008"/>
          <w:tab w:val="left" w:pos="1152"/>
          <w:tab w:val="left" w:pos="1872"/>
          <w:tab w:val="left" w:pos="9187"/>
        </w:tabs>
        <w:ind w:left="2088" w:hanging="2088"/>
        <w:jc w:val="left"/>
      </w:pPr>
      <w:r>
        <w:tab/>
        <w:t>3/9/2010</w:t>
      </w:r>
      <w:r>
        <w:tab/>
        <w:t>Senate</w:t>
      </w:r>
      <w:r>
        <w:tab/>
      </w:r>
      <w:r w:rsidRPr="00FF58D6">
        <w:t xml:space="preserve">Read third time and sent to House </w:t>
      </w:r>
      <w:hyperlink r:id="rId12" w:history="1">
        <w:r w:rsidRPr="00503102">
          <w:rPr>
            <w:rStyle w:val="Hyperlink"/>
          </w:rPr>
          <w:t>SJ</w:t>
        </w:r>
      </w:hyperlink>
      <w:r>
        <w:noBreakHyphen/>
      </w:r>
      <w:r w:rsidRPr="00FF58D6">
        <w:t>18</w:t>
      </w:r>
    </w:p>
    <w:p w:rsidR="002D12C3" w:rsidRDefault="002D12C3" w:rsidP="002D12C3">
      <w:pPr>
        <w:widowControl w:val="0"/>
        <w:tabs>
          <w:tab w:val="right" w:pos="1008"/>
          <w:tab w:val="left" w:pos="1152"/>
          <w:tab w:val="left" w:pos="1872"/>
          <w:tab w:val="left" w:pos="9187"/>
        </w:tabs>
        <w:ind w:left="2088" w:hanging="2088"/>
        <w:jc w:val="left"/>
      </w:pPr>
      <w:r>
        <w:tab/>
        <w:t>3/9/2010</w:t>
      </w:r>
      <w:r>
        <w:tab/>
        <w:t>House</w:t>
      </w:r>
      <w:r>
        <w:tab/>
      </w:r>
      <w:r w:rsidRPr="00FF58D6">
        <w:t xml:space="preserve">Introduced and read first time </w:t>
      </w:r>
      <w:hyperlink r:id="rId13" w:history="1">
        <w:r w:rsidRPr="00503102">
          <w:rPr>
            <w:rStyle w:val="Hyperlink"/>
          </w:rPr>
          <w:t>HJ</w:t>
        </w:r>
      </w:hyperlink>
      <w:r>
        <w:noBreakHyphen/>
      </w:r>
      <w:r w:rsidRPr="00FF58D6">
        <w:t>64</w:t>
      </w:r>
    </w:p>
    <w:p w:rsidR="002D12C3" w:rsidRDefault="002D12C3" w:rsidP="002D12C3">
      <w:pPr>
        <w:widowControl w:val="0"/>
        <w:tabs>
          <w:tab w:val="right" w:pos="1008"/>
          <w:tab w:val="left" w:pos="1152"/>
          <w:tab w:val="left" w:pos="1872"/>
          <w:tab w:val="left" w:pos="9187"/>
        </w:tabs>
        <w:ind w:left="2088" w:hanging="2088"/>
        <w:jc w:val="left"/>
      </w:pPr>
      <w:r>
        <w:tab/>
        <w:t>3/9/2010</w:t>
      </w:r>
      <w:r>
        <w:tab/>
        <w:t>House</w:t>
      </w:r>
      <w:r>
        <w:tab/>
      </w:r>
      <w:r w:rsidRPr="00FF58D6">
        <w:t xml:space="preserve">Referred to Committee on </w:t>
      </w:r>
      <w:r w:rsidRPr="00FF58D6">
        <w:rPr>
          <w:b/>
        </w:rPr>
        <w:t>Ways and Means</w:t>
      </w:r>
      <w:r w:rsidRPr="00FF58D6">
        <w:t xml:space="preserve"> </w:t>
      </w:r>
      <w:hyperlink r:id="rId14" w:history="1">
        <w:r w:rsidRPr="00503102">
          <w:rPr>
            <w:rStyle w:val="Hyperlink"/>
          </w:rPr>
          <w:t>HJ</w:t>
        </w:r>
      </w:hyperlink>
      <w:r>
        <w:noBreakHyphen/>
      </w:r>
      <w:r w:rsidRPr="00FF58D6">
        <w:t>65</w:t>
      </w:r>
    </w:p>
    <w:p w:rsidR="002D12C3" w:rsidRDefault="002D12C3" w:rsidP="002D12C3">
      <w:pPr>
        <w:widowControl w:val="0"/>
        <w:tabs>
          <w:tab w:val="right" w:pos="1008"/>
          <w:tab w:val="left" w:pos="1152"/>
          <w:tab w:val="left" w:pos="1872"/>
          <w:tab w:val="left" w:pos="9187"/>
        </w:tabs>
        <w:ind w:left="2088" w:hanging="2088"/>
        <w:jc w:val="left"/>
      </w:pPr>
      <w:r>
        <w:tab/>
        <w:t>5/12/2010</w:t>
      </w:r>
      <w:r>
        <w:tab/>
        <w:t>House</w:t>
      </w:r>
      <w:r>
        <w:tab/>
      </w:r>
      <w:r w:rsidRPr="00FF58D6">
        <w:t xml:space="preserve">Recalled from Committee on </w:t>
      </w:r>
      <w:r w:rsidRPr="00FF58D6">
        <w:rPr>
          <w:b/>
        </w:rPr>
        <w:t>Ways and Means</w:t>
      </w:r>
      <w:r w:rsidRPr="00FF58D6">
        <w:t xml:space="preserve"> </w:t>
      </w:r>
      <w:hyperlink r:id="rId15" w:history="1">
        <w:r w:rsidRPr="00503102">
          <w:rPr>
            <w:rStyle w:val="Hyperlink"/>
          </w:rPr>
          <w:t>HJ</w:t>
        </w:r>
      </w:hyperlink>
      <w:r>
        <w:noBreakHyphen/>
      </w:r>
      <w:r w:rsidRPr="00FF58D6">
        <w:t>24</w:t>
      </w:r>
    </w:p>
    <w:p w:rsidR="002D12C3" w:rsidRDefault="002D12C3" w:rsidP="002D12C3">
      <w:pPr>
        <w:widowControl w:val="0"/>
        <w:tabs>
          <w:tab w:val="right" w:pos="1008"/>
          <w:tab w:val="left" w:pos="1152"/>
          <w:tab w:val="left" w:pos="1872"/>
          <w:tab w:val="left" w:pos="9187"/>
        </w:tabs>
        <w:ind w:left="2088" w:hanging="2088"/>
        <w:jc w:val="left"/>
      </w:pPr>
      <w:r>
        <w:tab/>
        <w:t>5/20/2010</w:t>
      </w:r>
      <w:r>
        <w:tab/>
        <w:t>House</w:t>
      </w:r>
      <w:r>
        <w:tab/>
      </w:r>
      <w:r w:rsidRPr="00FF58D6">
        <w:t xml:space="preserve">Debate adjourned until Tuesday, May 25, 2010 </w:t>
      </w:r>
      <w:hyperlink r:id="rId16" w:history="1">
        <w:r w:rsidRPr="00503102">
          <w:rPr>
            <w:rStyle w:val="Hyperlink"/>
          </w:rPr>
          <w:t>HJ</w:t>
        </w:r>
      </w:hyperlink>
      <w:r>
        <w:noBreakHyphen/>
      </w:r>
      <w:r w:rsidRPr="00FF58D6">
        <w:t>69</w:t>
      </w:r>
    </w:p>
    <w:p w:rsidR="002D12C3" w:rsidRDefault="002D12C3" w:rsidP="002D12C3">
      <w:pPr>
        <w:widowControl w:val="0"/>
        <w:tabs>
          <w:tab w:val="right" w:pos="1008"/>
          <w:tab w:val="left" w:pos="1152"/>
          <w:tab w:val="left" w:pos="1872"/>
          <w:tab w:val="left" w:pos="9187"/>
        </w:tabs>
        <w:ind w:left="2088" w:hanging="2088"/>
        <w:jc w:val="left"/>
      </w:pPr>
      <w:r>
        <w:tab/>
        <w:t>5/25/2010</w:t>
      </w:r>
      <w:r>
        <w:tab/>
        <w:t>House</w:t>
      </w:r>
      <w:r>
        <w:tab/>
      </w:r>
      <w:r w:rsidRPr="00FF58D6">
        <w:t xml:space="preserve">Debate adjourned </w:t>
      </w:r>
      <w:hyperlink r:id="rId17" w:history="1">
        <w:r w:rsidRPr="00503102">
          <w:rPr>
            <w:rStyle w:val="Hyperlink"/>
          </w:rPr>
          <w:t>HJ</w:t>
        </w:r>
      </w:hyperlink>
      <w:r>
        <w:noBreakHyphen/>
      </w:r>
      <w:r w:rsidRPr="00FF58D6">
        <w:t>36</w:t>
      </w:r>
    </w:p>
    <w:p w:rsidR="002D12C3" w:rsidRDefault="002D12C3" w:rsidP="002D12C3">
      <w:pPr>
        <w:widowControl w:val="0"/>
        <w:tabs>
          <w:tab w:val="right" w:pos="1008"/>
          <w:tab w:val="left" w:pos="1152"/>
          <w:tab w:val="left" w:pos="1872"/>
          <w:tab w:val="left" w:pos="9187"/>
        </w:tabs>
        <w:ind w:left="2088" w:hanging="2088"/>
        <w:jc w:val="left"/>
      </w:pPr>
      <w:r>
        <w:tab/>
        <w:t>5/25/2010</w:t>
      </w:r>
      <w:r>
        <w:tab/>
        <w:t>House</w:t>
      </w:r>
      <w:r>
        <w:tab/>
      </w:r>
      <w:r w:rsidRPr="00FF58D6">
        <w:t xml:space="preserve">Amended </w:t>
      </w:r>
      <w:hyperlink r:id="rId18" w:history="1">
        <w:r w:rsidRPr="00503102">
          <w:rPr>
            <w:rStyle w:val="Hyperlink"/>
          </w:rPr>
          <w:t>HJ</w:t>
        </w:r>
      </w:hyperlink>
      <w:r>
        <w:noBreakHyphen/>
      </w:r>
      <w:r w:rsidRPr="00FF58D6">
        <w:t>74</w:t>
      </w:r>
    </w:p>
    <w:p w:rsidR="002D12C3" w:rsidRDefault="002D12C3" w:rsidP="002D12C3">
      <w:pPr>
        <w:widowControl w:val="0"/>
        <w:tabs>
          <w:tab w:val="right" w:pos="1008"/>
          <w:tab w:val="left" w:pos="1152"/>
          <w:tab w:val="left" w:pos="1872"/>
          <w:tab w:val="left" w:pos="9187"/>
        </w:tabs>
        <w:ind w:left="2088" w:hanging="2088"/>
        <w:jc w:val="left"/>
      </w:pPr>
      <w:r>
        <w:tab/>
        <w:t>5/25/2010</w:t>
      </w:r>
      <w:r>
        <w:tab/>
        <w:t>House</w:t>
      </w:r>
      <w:r>
        <w:tab/>
      </w:r>
      <w:r w:rsidRPr="00FF58D6">
        <w:t xml:space="preserve">Read second time </w:t>
      </w:r>
      <w:hyperlink r:id="rId19" w:history="1">
        <w:r w:rsidRPr="00503102">
          <w:rPr>
            <w:rStyle w:val="Hyperlink"/>
          </w:rPr>
          <w:t>HJ</w:t>
        </w:r>
      </w:hyperlink>
      <w:r>
        <w:noBreakHyphen/>
      </w:r>
      <w:r w:rsidRPr="00FF58D6">
        <w:t>74</w:t>
      </w:r>
    </w:p>
    <w:p w:rsidR="002D12C3" w:rsidRDefault="002D12C3" w:rsidP="002D12C3">
      <w:pPr>
        <w:widowControl w:val="0"/>
        <w:tabs>
          <w:tab w:val="right" w:pos="1008"/>
          <w:tab w:val="left" w:pos="1152"/>
          <w:tab w:val="left" w:pos="1872"/>
          <w:tab w:val="left" w:pos="9187"/>
        </w:tabs>
        <w:ind w:left="2088" w:hanging="2088"/>
        <w:jc w:val="left"/>
      </w:pPr>
      <w:r>
        <w:tab/>
        <w:t>5/25/2010</w:t>
      </w:r>
      <w:r>
        <w:tab/>
        <w:t>House</w:t>
      </w:r>
      <w:r>
        <w:tab/>
      </w:r>
      <w:r w:rsidRPr="00FF58D6">
        <w:t>Motion noted</w:t>
      </w:r>
      <w:r>
        <w:noBreakHyphen/>
      </w:r>
      <w:r w:rsidRPr="00FF58D6">
        <w:t xml:space="preserve"> </w:t>
      </w:r>
      <w:r>
        <w:t xml:space="preserve">Rep. Bowers moved to reconsider </w:t>
      </w:r>
      <w:r w:rsidRPr="00FF58D6">
        <w:t>second reading</w:t>
      </w:r>
    </w:p>
    <w:p w:rsidR="002D12C3" w:rsidRDefault="002D12C3" w:rsidP="002D12C3">
      <w:pPr>
        <w:widowControl w:val="0"/>
        <w:tabs>
          <w:tab w:val="right" w:pos="1008"/>
          <w:tab w:val="left" w:pos="1152"/>
          <w:tab w:val="left" w:pos="1872"/>
          <w:tab w:val="left" w:pos="9187"/>
        </w:tabs>
        <w:ind w:left="2088" w:hanging="2088"/>
        <w:jc w:val="left"/>
      </w:pPr>
      <w:r>
        <w:tab/>
        <w:t>5/26/2010</w:t>
      </w:r>
      <w:r>
        <w:tab/>
        <w:t>House</w:t>
      </w:r>
      <w:r>
        <w:tab/>
      </w:r>
      <w:r w:rsidRPr="00FF58D6">
        <w:t xml:space="preserve">Motion to reconsider tabled </w:t>
      </w:r>
      <w:hyperlink r:id="rId20" w:history="1">
        <w:r w:rsidRPr="00503102">
          <w:rPr>
            <w:rStyle w:val="Hyperlink"/>
          </w:rPr>
          <w:t>HJ</w:t>
        </w:r>
      </w:hyperlink>
      <w:r>
        <w:noBreakHyphen/>
      </w:r>
      <w:r w:rsidRPr="00FF58D6">
        <w:t>14</w:t>
      </w:r>
    </w:p>
    <w:p w:rsidR="002D12C3" w:rsidRDefault="002D12C3" w:rsidP="002D12C3">
      <w:pPr>
        <w:widowControl w:val="0"/>
        <w:tabs>
          <w:tab w:val="right" w:pos="1008"/>
          <w:tab w:val="left" w:pos="1152"/>
          <w:tab w:val="left" w:pos="1872"/>
          <w:tab w:val="left" w:pos="9187"/>
        </w:tabs>
        <w:ind w:left="2088" w:hanging="2088"/>
        <w:jc w:val="left"/>
      </w:pPr>
      <w:r>
        <w:tab/>
        <w:t>5/26/2010</w:t>
      </w:r>
      <w:r>
        <w:tab/>
        <w:t>House</w:t>
      </w:r>
      <w:r>
        <w:tab/>
      </w:r>
      <w:r w:rsidRPr="00FF58D6">
        <w:t>Roll call Yeas</w:t>
      </w:r>
      <w:r>
        <w:noBreakHyphen/>
      </w:r>
      <w:r w:rsidRPr="00FF58D6">
        <w:t>82  Nays</w:t>
      </w:r>
      <w:r>
        <w:noBreakHyphen/>
      </w:r>
      <w:r w:rsidRPr="00FF58D6">
        <w:t xml:space="preserve">14 </w:t>
      </w:r>
      <w:hyperlink r:id="rId21" w:history="1">
        <w:r w:rsidRPr="00503102">
          <w:rPr>
            <w:rStyle w:val="Hyperlink"/>
          </w:rPr>
          <w:t>HJ</w:t>
        </w:r>
      </w:hyperlink>
      <w:r>
        <w:noBreakHyphen/>
      </w:r>
      <w:r w:rsidRPr="00FF58D6">
        <w:t>14</w:t>
      </w:r>
    </w:p>
    <w:p w:rsidR="002D12C3" w:rsidRDefault="002D12C3" w:rsidP="002D12C3">
      <w:pPr>
        <w:widowControl w:val="0"/>
        <w:tabs>
          <w:tab w:val="right" w:pos="1008"/>
          <w:tab w:val="left" w:pos="1152"/>
          <w:tab w:val="left" w:pos="1872"/>
          <w:tab w:val="left" w:pos="9187"/>
        </w:tabs>
        <w:ind w:left="2088" w:hanging="2088"/>
        <w:jc w:val="left"/>
      </w:pPr>
      <w:r>
        <w:tab/>
        <w:t>5/26/2010</w:t>
      </w:r>
      <w:r>
        <w:tab/>
        <w:t>House</w:t>
      </w:r>
      <w:r>
        <w:tab/>
      </w:r>
      <w:r w:rsidRPr="00FF58D6">
        <w:t>Read third t</w:t>
      </w:r>
      <w:r>
        <w:t xml:space="preserve">ime and returned to Senate with </w:t>
      </w:r>
      <w:r w:rsidRPr="00FF58D6">
        <w:t xml:space="preserve">amendments </w:t>
      </w:r>
      <w:hyperlink r:id="rId22" w:history="1">
        <w:r w:rsidRPr="00503102">
          <w:rPr>
            <w:rStyle w:val="Hyperlink"/>
          </w:rPr>
          <w:t>HJ</w:t>
        </w:r>
      </w:hyperlink>
      <w:r>
        <w:noBreakHyphen/>
      </w:r>
      <w:r w:rsidRPr="00FF58D6">
        <w:t>14</w:t>
      </w:r>
    </w:p>
    <w:p w:rsidR="002D12C3" w:rsidRDefault="002D12C3" w:rsidP="002D12C3">
      <w:pPr>
        <w:widowControl w:val="0"/>
        <w:tabs>
          <w:tab w:val="right" w:pos="1008"/>
          <w:tab w:val="left" w:pos="1152"/>
          <w:tab w:val="left" w:pos="1872"/>
          <w:tab w:val="left" w:pos="9187"/>
        </w:tabs>
        <w:ind w:left="2088" w:hanging="2088"/>
        <w:jc w:val="left"/>
      </w:pPr>
      <w:r>
        <w:tab/>
        <w:t>6/1/2010</w:t>
      </w:r>
      <w:r>
        <w:tab/>
        <w:t>Senate</w:t>
      </w:r>
      <w:r>
        <w:tab/>
      </w:r>
      <w:r w:rsidRPr="00FF58D6">
        <w:t xml:space="preserve">House amendment amended </w:t>
      </w:r>
      <w:hyperlink r:id="rId23" w:history="1">
        <w:r w:rsidRPr="00503102">
          <w:rPr>
            <w:rStyle w:val="Hyperlink"/>
          </w:rPr>
          <w:t>SJ</w:t>
        </w:r>
      </w:hyperlink>
      <w:r>
        <w:noBreakHyphen/>
      </w:r>
      <w:r w:rsidRPr="00FF58D6">
        <w:t>98</w:t>
      </w:r>
    </w:p>
    <w:p w:rsidR="002D12C3" w:rsidRDefault="002D12C3" w:rsidP="002D12C3">
      <w:pPr>
        <w:widowControl w:val="0"/>
        <w:tabs>
          <w:tab w:val="right" w:pos="1008"/>
          <w:tab w:val="left" w:pos="1152"/>
          <w:tab w:val="left" w:pos="1872"/>
          <w:tab w:val="left" w:pos="9187"/>
        </w:tabs>
        <w:ind w:left="2088" w:hanging="2088"/>
        <w:jc w:val="left"/>
      </w:pPr>
      <w:r>
        <w:tab/>
        <w:t>6/1/2010</w:t>
      </w:r>
      <w:r>
        <w:tab/>
        <w:t>Senate</w:t>
      </w:r>
      <w:r>
        <w:tab/>
      </w:r>
      <w:r w:rsidRPr="00FF58D6">
        <w:t xml:space="preserve">Returned to House with amendments </w:t>
      </w:r>
      <w:hyperlink r:id="rId24" w:history="1">
        <w:r w:rsidRPr="00503102">
          <w:rPr>
            <w:rStyle w:val="Hyperlink"/>
          </w:rPr>
          <w:t>SJ</w:t>
        </w:r>
      </w:hyperlink>
      <w:r>
        <w:noBreakHyphen/>
      </w:r>
      <w:r w:rsidRPr="00FF58D6">
        <w:t>98</w:t>
      </w:r>
    </w:p>
    <w:p w:rsidR="002D12C3" w:rsidRDefault="002D12C3" w:rsidP="002D12C3">
      <w:pPr>
        <w:widowControl w:val="0"/>
        <w:tabs>
          <w:tab w:val="right" w:pos="1008"/>
          <w:tab w:val="left" w:pos="1152"/>
          <w:tab w:val="left" w:pos="1872"/>
          <w:tab w:val="left" w:pos="9187"/>
        </w:tabs>
        <w:ind w:left="2088" w:hanging="2088"/>
        <w:jc w:val="left"/>
      </w:pPr>
      <w:r>
        <w:tab/>
        <w:t>6/15/2010</w:t>
      </w:r>
      <w:r>
        <w:tab/>
        <w:t>House</w:t>
      </w:r>
      <w:r>
        <w:tab/>
      </w:r>
      <w:r w:rsidRPr="00FF58D6">
        <w:t>Non</w:t>
      </w:r>
      <w:r>
        <w:noBreakHyphen/>
      </w:r>
      <w:r w:rsidRPr="00FF58D6">
        <w:t xml:space="preserve">concurrence in Senate amendment </w:t>
      </w:r>
      <w:hyperlink r:id="rId25" w:history="1">
        <w:r w:rsidRPr="00503102">
          <w:rPr>
            <w:rStyle w:val="Hyperlink"/>
          </w:rPr>
          <w:t>HJ</w:t>
        </w:r>
      </w:hyperlink>
      <w:r>
        <w:noBreakHyphen/>
      </w:r>
      <w:r w:rsidRPr="00FF58D6">
        <w:t>71</w:t>
      </w:r>
    </w:p>
    <w:p w:rsidR="002D12C3" w:rsidRDefault="002D12C3" w:rsidP="002D12C3">
      <w:pPr>
        <w:widowControl w:val="0"/>
        <w:tabs>
          <w:tab w:val="right" w:pos="1008"/>
          <w:tab w:val="left" w:pos="1152"/>
          <w:tab w:val="left" w:pos="1872"/>
          <w:tab w:val="left" w:pos="9187"/>
        </w:tabs>
        <w:ind w:left="2088" w:hanging="2088"/>
        <w:jc w:val="left"/>
      </w:pPr>
      <w:r>
        <w:tab/>
        <w:t>6/15/2010</w:t>
      </w:r>
      <w:r>
        <w:tab/>
        <w:t>House</w:t>
      </w:r>
      <w:r>
        <w:tab/>
      </w:r>
      <w:r w:rsidRPr="00FF58D6">
        <w:t>Roll call Yeas</w:t>
      </w:r>
      <w:r>
        <w:noBreakHyphen/>
      </w:r>
      <w:r w:rsidRPr="00FF58D6">
        <w:t>3  Nays</w:t>
      </w:r>
      <w:r>
        <w:noBreakHyphen/>
      </w:r>
      <w:r w:rsidRPr="00FF58D6">
        <w:t xml:space="preserve">109 </w:t>
      </w:r>
      <w:hyperlink r:id="rId26" w:history="1">
        <w:r w:rsidRPr="00503102">
          <w:rPr>
            <w:rStyle w:val="Hyperlink"/>
          </w:rPr>
          <w:t>HJ</w:t>
        </w:r>
      </w:hyperlink>
      <w:r>
        <w:noBreakHyphen/>
      </w:r>
      <w:r w:rsidRPr="00FF58D6">
        <w:t>71</w:t>
      </w:r>
    </w:p>
    <w:p w:rsidR="002D12C3" w:rsidRDefault="002D12C3" w:rsidP="002D12C3">
      <w:pPr>
        <w:widowControl w:val="0"/>
        <w:tabs>
          <w:tab w:val="right" w:pos="1008"/>
          <w:tab w:val="left" w:pos="1152"/>
          <w:tab w:val="left" w:pos="1872"/>
          <w:tab w:val="left" w:pos="9187"/>
        </w:tabs>
        <w:ind w:left="2088" w:hanging="2088"/>
        <w:jc w:val="left"/>
      </w:pPr>
    </w:p>
    <w:p w:rsidR="009F1496" w:rsidRDefault="009F1496">
      <w:pPr>
        <w:widowControl w:val="0"/>
        <w:tabs>
          <w:tab w:val="right" w:pos="1008"/>
          <w:tab w:val="left" w:pos="1152"/>
          <w:tab w:val="left" w:pos="1872"/>
          <w:tab w:val="left" w:pos="9187"/>
        </w:tabs>
        <w:ind w:left="2088" w:hanging="2088"/>
        <w:jc w:val="left"/>
      </w:pPr>
    </w:p>
    <w:p w:rsidR="009F1496" w:rsidRDefault="00DE178D">
      <w:pPr>
        <w:widowControl w:val="0"/>
        <w:jc w:val="left"/>
      </w:pPr>
      <w:r>
        <w:rPr>
          <w:b/>
        </w:rPr>
        <w:t>VERSIONS OF THIS BILL</w:t>
      </w:r>
    </w:p>
    <w:p w:rsidR="009F1496" w:rsidRDefault="009F1496">
      <w:pPr>
        <w:widowControl w:val="0"/>
        <w:jc w:val="left"/>
      </w:pPr>
    </w:p>
    <w:p w:rsidR="009F1496" w:rsidRDefault="00291CD1">
      <w:pPr>
        <w:widowControl w:val="0"/>
        <w:jc w:val="left"/>
      </w:pPr>
      <w:hyperlink r:id="rId27" w:history="1">
        <w:r w:rsidR="00DE178D">
          <w:rPr>
            <w:rStyle w:val="Hyperlink"/>
          </w:rPr>
          <w:t>5/21/2009</w:t>
        </w:r>
      </w:hyperlink>
    </w:p>
    <w:p w:rsidR="003E0111" w:rsidRDefault="00291CD1">
      <w:hyperlink r:id="rId28" w:history="1">
        <w:r w:rsidR="003E0111" w:rsidRPr="003E0111">
          <w:rPr>
            <w:rStyle w:val="Hyperlink"/>
          </w:rPr>
          <w:t>3/3/2010</w:t>
        </w:r>
      </w:hyperlink>
    </w:p>
    <w:p w:rsidR="00E3432D" w:rsidRDefault="00291CD1">
      <w:hyperlink r:id="rId29" w:history="1">
        <w:r w:rsidR="00E3432D" w:rsidRPr="00E3432D">
          <w:rPr>
            <w:rStyle w:val="Hyperlink"/>
          </w:rPr>
          <w:t>3/4/2010</w:t>
        </w:r>
      </w:hyperlink>
    </w:p>
    <w:p w:rsidR="007C7D4A" w:rsidRDefault="00291CD1">
      <w:hyperlink r:id="rId30" w:history="1">
        <w:r w:rsidR="007C7D4A" w:rsidRPr="007C7D4A">
          <w:rPr>
            <w:rStyle w:val="Hyperlink"/>
          </w:rPr>
          <w:t>5/12/2010</w:t>
        </w:r>
      </w:hyperlink>
    </w:p>
    <w:p w:rsidR="00B15F01" w:rsidRDefault="00291CD1">
      <w:hyperlink r:id="rId31" w:history="1">
        <w:r w:rsidR="00B15F01" w:rsidRPr="00B15F01">
          <w:rPr>
            <w:rStyle w:val="Hyperlink"/>
          </w:rPr>
          <w:t>5/25/2010</w:t>
        </w:r>
      </w:hyperlink>
    </w:p>
    <w:p w:rsidR="00CA64C1" w:rsidRDefault="00291CD1">
      <w:hyperlink r:id="rId32" w:history="1">
        <w:r w:rsidR="00CA64C1" w:rsidRPr="00CA64C1">
          <w:rPr>
            <w:rStyle w:val="Hyperlink"/>
          </w:rPr>
          <w:t>6/1/2010</w:t>
        </w:r>
      </w:hyperlink>
    </w:p>
    <w:p w:rsidR="009F1496" w:rsidRDefault="009F1496"/>
    <w:p w:rsidR="009F1496" w:rsidRDefault="009F1496">
      <w:pPr>
        <w:sectPr w:rsidR="009F1496">
          <w:pgSz w:w="12240" w:h="15840" w:code="1"/>
          <w:pgMar w:top="1080" w:right="1440" w:bottom="1080" w:left="1440" w:header="720" w:footer="720" w:gutter="0"/>
          <w:cols w:space="720"/>
          <w:noEndnote/>
          <w:docGrid w:linePitch="360"/>
        </w:sectPr>
      </w:pPr>
    </w:p>
    <w:p w:rsidR="00CA64C1" w:rsidRDefault="00CA64C1">
      <w:pPr>
        <w:pStyle w:val="BillDots"/>
      </w:pPr>
      <w:r>
        <w:rPr>
          <w:strike/>
        </w:rPr>
        <w:lastRenderedPageBreak/>
        <w:t>Indicates Matter Stricken</w:t>
      </w:r>
    </w:p>
    <w:p w:rsidR="00CA64C1" w:rsidRPr="007A72A3" w:rsidRDefault="00CA64C1">
      <w:pPr>
        <w:pStyle w:val="BillDots"/>
      </w:pPr>
      <w:r>
        <w:rPr>
          <w:u w:val="single"/>
        </w:rPr>
        <w:t>Indicates New Matter</w:t>
      </w:r>
    </w:p>
    <w:p w:rsidR="00CA64C1" w:rsidRDefault="00CA64C1">
      <w:pPr>
        <w:pStyle w:val="BillDots"/>
      </w:pPr>
    </w:p>
    <w:p w:rsidR="00CA64C1" w:rsidRDefault="00CA64C1" w:rsidP="007A72A3">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CA64C1" w:rsidRDefault="00CA64C1" w:rsidP="007A72A3">
      <w:pPr>
        <w:pStyle w:val="BillDots"/>
        <w:tabs>
          <w:tab w:val="clear" w:pos="216"/>
          <w:tab w:val="clear" w:pos="432"/>
          <w:tab w:val="clear" w:pos="648"/>
          <w:tab w:val="clear" w:pos="864"/>
          <w:tab w:val="clear" w:pos="1080"/>
          <w:tab w:val="clear" w:pos="1296"/>
          <w:tab w:val="clear" w:pos="5904"/>
          <w:tab w:val="right" w:pos="5933"/>
        </w:tabs>
      </w:pPr>
      <w:r>
        <w:t>June 1, 2010</w:t>
      </w:r>
    </w:p>
    <w:p w:rsidR="00CA64C1" w:rsidRDefault="00CA64C1" w:rsidP="007A72A3">
      <w:pPr>
        <w:pStyle w:val="BillDots"/>
        <w:tabs>
          <w:tab w:val="clear" w:pos="216"/>
          <w:tab w:val="clear" w:pos="432"/>
          <w:tab w:val="clear" w:pos="648"/>
          <w:tab w:val="clear" w:pos="864"/>
          <w:tab w:val="clear" w:pos="1080"/>
          <w:tab w:val="clear" w:pos="1296"/>
          <w:tab w:val="clear" w:pos="5904"/>
          <w:tab w:val="right" w:pos="5933"/>
        </w:tabs>
      </w:pPr>
    </w:p>
    <w:p w:rsidR="00CA64C1" w:rsidRPr="007A72A3" w:rsidRDefault="00CA64C1" w:rsidP="007A72A3">
      <w:pPr>
        <w:pStyle w:val="BillDots"/>
        <w:tabs>
          <w:tab w:val="clear" w:pos="216"/>
          <w:tab w:val="clear" w:pos="432"/>
          <w:tab w:val="clear" w:pos="648"/>
          <w:tab w:val="clear" w:pos="864"/>
          <w:tab w:val="clear" w:pos="1080"/>
          <w:tab w:val="clear" w:pos="1296"/>
          <w:tab w:val="clear" w:pos="5904"/>
          <w:tab w:val="right" w:pos="5933"/>
        </w:tabs>
      </w:pPr>
      <w:r>
        <w:tab/>
      </w:r>
      <w:r>
        <w:rPr>
          <w:b/>
          <w:sz w:val="36"/>
        </w:rPr>
        <w:t>S. 879</w:t>
      </w:r>
    </w:p>
    <w:p w:rsidR="00CA64C1" w:rsidRDefault="00CA64C1">
      <w:pPr>
        <w:pStyle w:val="BillDots"/>
      </w:pPr>
    </w:p>
    <w:p w:rsidR="00CA64C1" w:rsidRDefault="00CA64C1" w:rsidP="007A72A3">
      <w:pPr>
        <w:pStyle w:val="BillDots"/>
        <w:jc w:val="center"/>
      </w:pPr>
      <w:r>
        <w:t>Introduced by Senator Campsen</w:t>
      </w:r>
    </w:p>
    <w:p w:rsidR="00CA64C1" w:rsidRDefault="00CA64C1">
      <w:pPr>
        <w:pStyle w:val="BillDots"/>
      </w:pPr>
    </w:p>
    <w:p w:rsidR="00CA64C1" w:rsidRDefault="00CA64C1">
      <w:pPr>
        <w:pStyle w:val="BillDots"/>
      </w:pPr>
      <w:r>
        <w:t>S. Printed 6/1/10--S.</w:t>
      </w:r>
    </w:p>
    <w:p w:rsidR="00CA64C1" w:rsidRDefault="00CA64C1">
      <w:pPr>
        <w:pStyle w:val="BillDots"/>
      </w:pPr>
      <w:r>
        <w:t>Read the first time May 21, 2009.</w:t>
      </w:r>
    </w:p>
    <w:p w:rsidR="00CA64C1" w:rsidRPr="007A72A3" w:rsidRDefault="00CA64C1" w:rsidP="007A72A3">
      <w:pPr>
        <w:pStyle w:val="BillDots"/>
        <w:jc w:val="center"/>
      </w:pPr>
      <w:r>
        <w:rPr>
          <w:u w:val="single"/>
        </w:rPr>
        <w:t>            </w:t>
      </w:r>
    </w:p>
    <w:p w:rsidR="00CA64C1" w:rsidRDefault="00CA64C1">
      <w:pPr>
        <w:pStyle w:val="BillDots"/>
      </w:pPr>
    </w:p>
    <w:p w:rsidR="00CA64C1" w:rsidRPr="00BC0DBB" w:rsidRDefault="00CA64C1">
      <w:pPr>
        <w:pStyle w:val="BillDots"/>
        <w:sectPr w:rsidR="00CA64C1" w:rsidRPr="00BC0DBB" w:rsidSect="00E9318A">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CA64C1" w:rsidRDefault="00CA64C1">
      <w:pPr>
        <w:pStyle w:val="BillDot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3150, AS AMENDED, CODE OF LAWS OF SOUTH CAROLINA, 1976, RELATING TO ASSESSABLE TRANSFERS OF INTEREST FOR PURPOSES OF DETERMINING THE VALUE OF REAL PROPERTY FOR PROPERTY TAXATION, SO AS TO PROVIDE ADDITIONAL INSTANCES OF PROPERTY TRANSFERS NOT CONSIDERED ASSESSABLE TRANSFERS OF INTEREST, INCLUDING TRANSFERS OF FRACTIONAL INTERESTS CONSTITUTING NOT MORE THAN FIFTY PERCENT OF FEE SIMPLE TITLE, TRANSFERS INTO AND OUT OF A SINGLE MEMBER LIMITED LIABILITY COMPANY NOT TAXED AS A CORPORATION WHEN THE SINGLE MEMBER IS THE TRANSFEREE AND TRANSFEROR, TRANSFERS RELATING TO EASEMENTS, TRANSFERS TO QUIET TITLE OR ESTABLISH A BOUNDARY LINE, AND TRANSFERS CREATING OR TERMINATING A JOINT TENANCY WITH RIGHTS OF SURVIVORSHIP IF THE GRANTORS AND GRANTEES ARE THE SAME.</w:t>
      </w: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SECTION</w:t>
      </w:r>
      <w:r w:rsidRPr="00716D0B">
        <w:tab/>
        <w:t>1.</w:t>
      </w:r>
      <w:r w:rsidRPr="00716D0B">
        <w:tab/>
        <w:t>A.</w:t>
      </w:r>
      <w:r w:rsidRPr="00716D0B">
        <w:tab/>
      </w:r>
      <w:r w:rsidRPr="00716D0B">
        <w:tab/>
        <w:t>Section 12</w:t>
      </w:r>
      <w:r w:rsidRPr="00716D0B">
        <w:noBreakHyphen/>
        <w:t>37</w:t>
      </w:r>
      <w:r w:rsidRPr="00716D0B">
        <w:noBreakHyphen/>
        <w:t>3150(B) of the 1976 Code, as last amended by Act 57 of 2007, is further amended to read:</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tab/>
        <w:t>“(B)</w:t>
      </w:r>
      <w:r w:rsidRPr="00716D0B">
        <w:tab/>
      </w:r>
      <w:r w:rsidRPr="00716D0B">
        <w:rPr>
          <w:color w:val="000000" w:themeColor="text1"/>
          <w:u w:color="000000" w:themeColor="text1"/>
        </w:rPr>
        <w:t xml:space="preserve">An assessable transfer of interest does not include: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(1)</w:t>
      </w:r>
      <w:r w:rsidRPr="00716D0B">
        <w:rPr>
          <w:color w:val="000000" w:themeColor="text1"/>
          <w:u w:color="000000" w:themeColor="text1"/>
        </w:rPr>
        <w:tab/>
        <w:t xml:space="preserve">transfers not subject to federal income tax in the following circumstances: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(a)</w:t>
      </w:r>
      <w:r w:rsidRPr="00716D0B">
        <w:rPr>
          <w:color w:val="000000" w:themeColor="text1"/>
          <w:u w:color="000000" w:themeColor="text1"/>
        </w:rPr>
        <w:tab/>
        <w:t>1033 (Conversions</w:t>
      </w:r>
      <w:r w:rsidRPr="00716D0B">
        <w:rPr>
          <w:color w:val="000000" w:themeColor="text1"/>
          <w:u w:color="000000" w:themeColor="text1"/>
        </w:rPr>
        <w:noBreakHyphen/>
        <w:t xml:space="preserve">Fire and Insurance Proceeds to Rebuild);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(b)</w:t>
      </w:r>
      <w:r w:rsidRPr="00716D0B">
        <w:rPr>
          <w:color w:val="000000" w:themeColor="text1"/>
          <w:u w:color="000000" w:themeColor="text1"/>
        </w:rPr>
        <w:tab/>
        <w:t xml:space="preserve">1041 (Transfers of Property Between Spouses or Incident to Divorce);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(c)</w:t>
      </w:r>
      <w:r w:rsidRPr="00716D0B">
        <w:rPr>
          <w:color w:val="000000" w:themeColor="text1"/>
          <w:u w:color="000000" w:themeColor="text1"/>
        </w:rPr>
        <w:tab/>
        <w:t xml:space="preserve">351 (Transfer to a Corporation Controlled by Transferor);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(d)</w:t>
      </w:r>
      <w:r w:rsidRPr="00716D0B">
        <w:rPr>
          <w:color w:val="000000" w:themeColor="text1"/>
          <w:u w:color="000000" w:themeColor="text1"/>
        </w:rPr>
        <w:tab/>
        <w:t xml:space="preserve">355 (Distribution by a Controlled Corporation);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(e)</w:t>
      </w:r>
      <w:r w:rsidRPr="00716D0B">
        <w:rPr>
          <w:color w:val="000000" w:themeColor="text1"/>
          <w:u w:color="000000" w:themeColor="text1"/>
        </w:rPr>
        <w:tab/>
        <w:t xml:space="preserve">368 (Corporate Reorganizations); or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(f)</w:t>
      </w:r>
      <w:r w:rsidRPr="00716D0B">
        <w:rPr>
          <w:color w:val="000000" w:themeColor="text1"/>
          <w:u w:color="000000" w:themeColor="text1"/>
        </w:rPr>
        <w:tab/>
        <w:t xml:space="preserve">721 (Nonrecognition of Gain or Loss on a Contribution to a Partnership).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t>Number references in the above subitems are to sections of the Internal Revenue Code of 1986, as defined in Section 12</w:t>
      </w:r>
      <w:r w:rsidRPr="00716D0B">
        <w:rPr>
          <w:color w:val="000000" w:themeColor="text1"/>
          <w:u w:color="000000" w:themeColor="text1"/>
        </w:rPr>
        <w:noBreakHyphen/>
        <w:t>6</w:t>
      </w:r>
      <w:r w:rsidRPr="00716D0B">
        <w:rPr>
          <w:color w:val="000000" w:themeColor="text1"/>
          <w:u w:color="000000" w:themeColor="text1"/>
        </w:rPr>
        <w:noBreakHyphen/>
        <w:t xml:space="preserve">40;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(2)</w:t>
      </w:r>
      <w:r w:rsidRPr="00716D0B">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(3)</w:t>
      </w:r>
      <w:r w:rsidRPr="00716D0B">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(4)</w:t>
      </w:r>
      <w:r w:rsidRPr="00716D0B">
        <w:rPr>
          <w:color w:val="000000" w:themeColor="text1"/>
          <w:u w:color="000000" w:themeColor="text1"/>
        </w:rPr>
        <w:tab/>
        <w:t xml:space="preserve">a transfer by redemption by the person to whom taxes are assessed of property previously sold for delinquent taxes;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(5)</w:t>
      </w:r>
      <w:r w:rsidRPr="00716D0B">
        <w:rPr>
          <w:color w:val="000000" w:themeColor="text1"/>
          <w:u w:color="000000" w:themeColor="text1"/>
        </w:rPr>
        <w:tab/>
        <w:t xml:space="preserve">a conveyance to a trust if the settlor or the settlor’s spouse, or both, convey the property to the trust and the sole present beneficiary of the trust is the settlor or the settlor’s spouse, or both;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(6)</w:t>
      </w:r>
      <w:r w:rsidRPr="00716D0B">
        <w:rPr>
          <w:color w:val="000000" w:themeColor="text1"/>
          <w:u w:color="000000" w:themeColor="text1"/>
        </w:rPr>
        <w:tab/>
        <w:t xml:space="preserve">a transfer for security or an assignment or discharge of a security interest;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(7)</w:t>
      </w:r>
      <w:r w:rsidRPr="00716D0B">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716D0B">
        <w:rPr>
          <w:color w:val="000000" w:themeColor="text1"/>
          <w:u w:color="000000" w:themeColor="text1"/>
        </w:rPr>
        <w:noBreakHyphen/>
        <w:t>6</w:t>
      </w:r>
      <w:r w:rsidRPr="00716D0B">
        <w:rPr>
          <w:color w:val="000000" w:themeColor="text1"/>
          <w:u w:color="000000" w:themeColor="text1"/>
        </w:rPr>
        <w:noBreakHyphen/>
        <w:t>40.  Upon request of the applicable property tax assessor, a corporation shall furnish proof within forty</w:t>
      </w:r>
      <w:r w:rsidRPr="00716D0B">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716D0B">
        <w:rPr>
          <w:color w:val="000000" w:themeColor="text1"/>
          <w:u w:color="000000" w:themeColor="text1"/>
        </w:rPr>
        <w:noBreakHyphen/>
        <w:t>37</w:t>
      </w:r>
      <w:r w:rsidRPr="00716D0B">
        <w:rPr>
          <w:color w:val="000000" w:themeColor="text1"/>
          <w:u w:color="000000" w:themeColor="text1"/>
        </w:rPr>
        <w:noBreakHyphen/>
        <w:t xml:space="preserve">3160(B);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(8)</w:t>
      </w:r>
      <w:r w:rsidRPr="00716D0B">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716D0B">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716D0B">
        <w:rPr>
          <w:color w:val="000000" w:themeColor="text1"/>
          <w:u w:color="000000" w:themeColor="text1"/>
        </w:rPr>
        <w:noBreakHyphen/>
        <w:t>37</w:t>
      </w:r>
      <w:r w:rsidRPr="00716D0B">
        <w:rPr>
          <w:color w:val="000000" w:themeColor="text1"/>
          <w:u w:color="000000" w:themeColor="text1"/>
        </w:rPr>
        <w:noBreakHyphen/>
        <w:t xml:space="preserve">3160(B); </w:t>
      </w:r>
      <w:r w:rsidRPr="00716D0B">
        <w:rPr>
          <w:strike/>
          <w:color w:val="000000" w:themeColor="text1"/>
          <w:u w:color="000000" w:themeColor="text1"/>
        </w:rPr>
        <w:t>or</w:t>
      </w:r>
      <w:r w:rsidRPr="00716D0B">
        <w:rPr>
          <w:color w:val="000000" w:themeColor="text1"/>
          <w:u w:color="000000" w:themeColor="text1"/>
        </w:rPr>
        <w:t xml:space="preserve">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D0B">
        <w:rPr>
          <w:color w:val="000000" w:themeColor="text1"/>
          <w:u w:color="000000" w:themeColor="text1"/>
        </w:rPr>
        <w:tab/>
      </w:r>
      <w:r w:rsidRPr="00716D0B">
        <w:rPr>
          <w:color w:val="000000" w:themeColor="text1"/>
          <w:u w:color="000000" w:themeColor="text1"/>
        </w:rPr>
        <w:tab/>
        <w:t>(9)</w:t>
      </w:r>
      <w:r w:rsidRPr="00716D0B">
        <w:rPr>
          <w:color w:val="000000" w:themeColor="text1"/>
          <w:u w:color="000000" w:themeColor="text1"/>
        </w:rPr>
        <w:tab/>
        <w:t>a transfer of an interest in a timeshare unit by deed or lease</w:t>
      </w:r>
      <w:r w:rsidRPr="00716D0B">
        <w:rPr>
          <w:color w:val="000000" w:themeColor="text1"/>
          <w:u w:val="single" w:color="000000" w:themeColor="text1"/>
        </w:rPr>
        <w:t>;</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(10)</w:t>
      </w:r>
      <w:r w:rsidRPr="00716D0B">
        <w:tab/>
      </w:r>
      <w:r w:rsidRPr="00716D0B">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716D0B">
        <w:rPr>
          <w:u w:val="single"/>
        </w:rPr>
        <w:noBreakHyphen/>
        <w:t>five year period, is not more than fifty percent of the entire fee simple title to the real estate;</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(11)</w:t>
      </w:r>
      <w:r w:rsidRPr="00716D0B">
        <w:tab/>
      </w:r>
      <w:r w:rsidRPr="00716D0B">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sidRPr="00716D0B">
        <w:rPr>
          <w:u w:val="single"/>
        </w:rPr>
        <w:noBreakHyphen/>
        <w:t>2</w:t>
      </w:r>
      <w:r w:rsidRPr="00716D0B">
        <w:rPr>
          <w:u w:val="single"/>
        </w:rPr>
        <w:noBreakHyphen/>
        <w:t>25(B)(1);</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(12)</w:t>
      </w:r>
      <w:r w:rsidRPr="00716D0B">
        <w:tab/>
      </w:r>
      <w:r w:rsidRPr="00716D0B">
        <w:rPr>
          <w:u w:val="single"/>
        </w:rPr>
        <w:t>a conveyance, assignment, release, or modification of an easement, including, but not limited to:</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tab/>
      </w:r>
      <w:r w:rsidRPr="00716D0B">
        <w:rPr>
          <w:u w:val="single"/>
        </w:rPr>
        <w:t>(a)</w:t>
      </w:r>
      <w:r w:rsidRPr="00716D0B">
        <w:tab/>
      </w:r>
      <w:r w:rsidRPr="00716D0B">
        <w:rPr>
          <w:u w:val="single"/>
        </w:rPr>
        <w:t>a conservation easement, as defined in Chapter 8 of Title 27;</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tab/>
      </w:r>
      <w:r w:rsidRPr="00716D0B">
        <w:rPr>
          <w:u w:val="single"/>
        </w:rPr>
        <w:t>(b)</w:t>
      </w:r>
      <w:r w:rsidRPr="00716D0B">
        <w:tab/>
      </w:r>
      <w:r w:rsidRPr="00716D0B">
        <w:rPr>
          <w:u w:val="single"/>
        </w:rPr>
        <w:t>a utility easement; or</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tab/>
      </w:r>
      <w:r w:rsidRPr="00716D0B">
        <w:rPr>
          <w:u w:val="single"/>
        </w:rPr>
        <w:t>(c)</w:t>
      </w:r>
      <w:r w:rsidRPr="00716D0B">
        <w:tab/>
      </w:r>
      <w:r w:rsidRPr="00716D0B">
        <w:rPr>
          <w:u w:val="single"/>
        </w:rPr>
        <w:t>an easement for ingress, egress, or regress;</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(13)</w:t>
      </w:r>
      <w:r w:rsidRPr="00716D0B">
        <w:tab/>
      </w:r>
      <w:r w:rsidRPr="00716D0B">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tab/>
      </w:r>
      <w:r w:rsidRPr="00716D0B">
        <w:tab/>
      </w:r>
      <w:r w:rsidRPr="00716D0B">
        <w:rPr>
          <w:u w:val="single"/>
        </w:rPr>
        <w:t>(14)</w:t>
      </w:r>
      <w:r w:rsidRPr="00716D0B">
        <w:tab/>
      </w:r>
      <w:r w:rsidRPr="00716D0B">
        <w:rPr>
          <w:u w:val="single"/>
        </w:rPr>
        <w:t>the execution or recording of a deed to real property for the purpose of creating or terminating a joint tenancy with rights of survivorship, provided the grantors and grantees are the same</w:t>
      </w:r>
      <w:r w:rsidRPr="00716D0B">
        <w:t>.</w:t>
      </w:r>
      <w:r w:rsidRPr="00716D0B">
        <w:rPr>
          <w:color w:val="000000" w:themeColor="text1"/>
          <w:u w:color="000000" w:themeColor="text1"/>
        </w:rPr>
        <w:t xml:space="preserve">” </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6D0B">
        <w:t>B.</w:t>
      </w:r>
      <w:r w:rsidRPr="00716D0B">
        <w:tab/>
      </w:r>
      <w:r w:rsidRPr="00716D0B">
        <w:tab/>
      </w:r>
      <w:r w:rsidRPr="00716D0B">
        <w:rPr>
          <w:snapToGrid w:val="0"/>
        </w:rPr>
        <w:t>Section 12</w:t>
      </w:r>
      <w:r w:rsidRPr="00716D0B">
        <w:rPr>
          <w:snapToGrid w:val="0"/>
        </w:rPr>
        <w:noBreakHyphen/>
        <w:t>37</w:t>
      </w:r>
      <w:r w:rsidRPr="00716D0B">
        <w:rPr>
          <w:snapToGrid w:val="0"/>
        </w:rPr>
        <w:noBreakHyphen/>
        <w:t>3150(A)(8) of the 1976 Code is amended to read:</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6D0B">
        <w:rPr>
          <w:snapToGrid w:val="0"/>
        </w:rPr>
        <w:tab/>
        <w:t>“(8)</w:t>
      </w:r>
      <w:r w:rsidRPr="00716D0B">
        <w:rPr>
          <w:snapToGrid w:val="0"/>
        </w:rPr>
        <w:tab/>
        <w:t>a transfer of an ownership interest in a single transaction or as a part of a series of related transactions within a twenty</w:t>
      </w:r>
      <w:r w:rsidRPr="00716D0B">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716D0B">
        <w:rPr>
          <w:snapToGrid w:val="0"/>
          <w:u w:val="single"/>
        </w:rPr>
        <w:t>This provision does not apply to transfers that are not subject to federal income tax, as provided in subsection (B)(1), including, but not limited to, transfers of interests to spouses.</w:t>
      </w:r>
      <w:r w:rsidRPr="00716D0B">
        <w:rPr>
          <w:snapToGrid w:val="0"/>
        </w:rPr>
        <w:t xml:space="preserve">  The corporation, partnership, sole proprietorship, limited liability company, limited liability partnership, or other legal entity shall notify the applicable property tax assessor on a form provided by the Department of Revenue not more than forty</w:t>
      </w:r>
      <w:r w:rsidRPr="00716D0B">
        <w:rPr>
          <w:snapToGrid w:val="0"/>
        </w:rPr>
        <w:noBreakHyphen/>
        <w:t>five days after a conveyance of an ownership interest that constitutes an assessable transfer of interest or transfer of ownership under this item</w:t>
      </w:r>
      <w:r w:rsidRPr="00716D0B">
        <w:rPr>
          <w:snapToGrid w:val="0"/>
          <w:u w:val="single"/>
        </w:rPr>
        <w:t>.  F</w:t>
      </w:r>
      <w:r w:rsidRPr="00716D0B">
        <w:rPr>
          <w:color w:val="000000" w:themeColor="text1"/>
          <w:u w:val="single" w:color="000000" w:themeColor="text1"/>
        </w:rPr>
        <w:t>ailure to provide this notice or failure to provide accurate information of a transaction required to be reported by this subitem subjects the property to a civil penalty of not less than one hundred nor more than one thousand dollars as determined by the assessor.  This penalty is enforceable and collectible as property tax and is in addition to any other penalties that may apply.  Failure to provide this notice is a separate offense for each year after the notice was required</w:t>
      </w:r>
      <w:r w:rsidRPr="00716D0B">
        <w:rPr>
          <w:color w:val="000000" w:themeColor="text1"/>
          <w:u w:color="000000" w:themeColor="text1"/>
        </w:rPr>
        <w:t>;”</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16D0B">
        <w:t>C.</w:t>
      </w:r>
      <w:r w:rsidRPr="00716D0B">
        <w:tab/>
      </w:r>
      <w:r w:rsidRPr="00716D0B">
        <w:tab/>
        <w:t>This section applies for real property transfers after 2009.  No refund is allowed on account of values adjusted by the provisions of this section.</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16D0B">
        <w:t>SECTION</w:t>
      </w:r>
      <w:r w:rsidRPr="00716D0B">
        <w:tab/>
        <w:t>2.</w:t>
      </w:r>
      <w:r w:rsidRPr="00716D0B">
        <w:tab/>
        <w:t>Section 12</w:t>
      </w:r>
      <w:r w:rsidRPr="00716D0B">
        <w:noBreakHyphen/>
        <w:t>37</w:t>
      </w:r>
      <w:r w:rsidRPr="00716D0B">
        <w:noBreakHyphen/>
        <w:t>3140(B) of the 1976 Code is amended to read:</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16D0B">
        <w:tab/>
        <w:t>“(B)</w:t>
      </w:r>
      <w:r w:rsidRPr="00716D0B">
        <w:tab/>
        <w:t>Any increase in the fair market value of real property attributable to the periodic countywide appraisal and equalization program implemented pursuant to Section 12</w:t>
      </w:r>
      <w:r w:rsidRPr="00716D0B">
        <w:noBreakHyphen/>
        <w:t>43</w:t>
      </w:r>
      <w:r w:rsidRPr="00716D0B">
        <w:noBreakHyphen/>
        <w:t>217 is limited to fifteen percent within a five</w:t>
      </w:r>
      <w:r w:rsidRPr="00716D0B">
        <w:noBreakHyphen/>
        <w:t xml:space="preserve">year period to the otherwise applicable fair market value.  </w:t>
      </w:r>
      <w:r w:rsidRPr="00716D0B">
        <w:rPr>
          <w:u w:val="single"/>
        </w:rPr>
        <w:t xml:space="preserve">This limit must be calculated on the land and improvements as a whole.  </w:t>
      </w:r>
      <w:r w:rsidRPr="00716D0B">
        <w:t>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SECTION</w:t>
      </w:r>
      <w:r w:rsidRPr="00716D0B">
        <w:tab/>
      </w:r>
      <w:r>
        <w:t>3</w:t>
      </w:r>
      <w:r w:rsidRPr="00716D0B">
        <w:t>.</w:t>
      </w:r>
      <w:r w:rsidRPr="00716D0B">
        <w:tab/>
        <w:t>Section 12</w:t>
      </w:r>
      <w:r w:rsidRPr="00716D0B">
        <w:noBreakHyphen/>
        <w:t>37</w:t>
      </w:r>
      <w:r w:rsidRPr="00716D0B">
        <w:noBreakHyphen/>
        <w:t>670(A) of the 1976 Code, as last amended by Act 57 of 2007, is further amended to read:</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16D0B">
        <w:tab/>
        <w:t>“(A)</w:t>
      </w:r>
      <w:r w:rsidRPr="00716D0B">
        <w:tab/>
        <w:t>No new structure must be listed or assessed for property tax until it is completed and fit for the use for which it is intended</w:t>
      </w:r>
      <w:r w:rsidRPr="00716D0B">
        <w:rPr>
          <w:u w:val="single"/>
        </w:rPr>
        <w:t>, as evidenced by the issuance of a certificate of occupancy or the structure is actually occupied if no certificate is issued</w:t>
      </w:r>
      <w:r w:rsidRPr="00716D0B">
        <w:t>.”</w:t>
      </w:r>
    </w:p>
    <w:p w:rsidR="00CA64C1" w:rsidRPr="00716D0B"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A64C1" w:rsidRDefault="00CA64C1"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716D0B">
        <w:t>.</w:t>
      </w:r>
      <w:r w:rsidRPr="00716D0B">
        <w:tab/>
        <w:t>Except where otherwise stated, this act takes effect upon approval by the Governor.</w:t>
      </w:r>
    </w:p>
    <w:p w:rsidR="00CA64C1" w:rsidRDefault="00CA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1496" w:rsidRDefault="009F1496" w:rsidP="00CA64C1">
      <w:pPr>
        <w:pStyle w:val="BillDots"/>
      </w:pPr>
    </w:p>
    <w:sectPr w:rsidR="009F1496" w:rsidSect="00E9318A">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496" w:rsidRDefault="00DE178D">
      <w:r>
        <w:separator/>
      </w:r>
    </w:p>
  </w:endnote>
  <w:endnote w:type="continuationSeparator" w:id="0">
    <w:p w:rsidR="009F1496" w:rsidRDefault="00DE1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2EBAB3-B952-459D-B04C-7463B68C8EA8}"/>
    <w:embedBold r:id="rId2" w:fontKey="{3BB691BB-F036-4615-8BF5-C02CECF59CAF}"/>
  </w:font>
  <w:font w:name="Calibri">
    <w:panose1 w:val="020F0502020204030204"/>
    <w:charset w:val="00"/>
    <w:family w:val="swiss"/>
    <w:pitch w:val="variable"/>
    <w:sig w:usb0="E10002FF" w:usb1="4000ACFF" w:usb2="00000009" w:usb3="00000000" w:csb0="0000019F" w:csb1="00000000"/>
    <w:embedRegular r:id="rId3" w:fontKey="{69949041-466D-42A9-A1C1-332B9448ACFE}"/>
  </w:font>
  <w:font w:name="Cambria">
    <w:panose1 w:val="02040503050406030204"/>
    <w:charset w:val="00"/>
    <w:family w:val="roman"/>
    <w:pitch w:val="variable"/>
    <w:sig w:usb0="E00002FF" w:usb1="400004FF" w:usb2="00000000" w:usb3="00000000" w:csb0="0000019F" w:csb1="00000000"/>
    <w:embedRegular r:id="rId4" w:fontKey="{5407C2C6-1246-4097-AC5D-9E36DF9E1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C1" w:rsidRDefault="00CA64C1">
    <w:pPr>
      <w:pStyle w:val="Footer"/>
      <w:tabs>
        <w:tab w:val="clear" w:pos="4680"/>
        <w:tab w:val="clear" w:pos="9360"/>
        <w:tab w:val="center" w:pos="2995"/>
      </w:tabs>
      <w:spacing w:before="120"/>
    </w:pPr>
    <w:r>
      <w:t>[879-</w:t>
    </w:r>
    <w:r w:rsidR="00291CD1">
      <w:fldChar w:fldCharType="begin"/>
    </w:r>
    <w:r w:rsidR="00291CD1">
      <w:instrText xml:space="preserve"> PAGE  \* MERGEFORMAT </w:instrText>
    </w:r>
    <w:r w:rsidR="00291CD1">
      <w:fldChar w:fldCharType="separate"/>
    </w:r>
    <w:r w:rsidR="00291CD1">
      <w:rPr>
        <w:noProof/>
      </w:rPr>
      <w:t>1</w:t>
    </w:r>
    <w:r w:rsidR="00291CD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18A" w:rsidRDefault="00CA64C1">
    <w:pPr>
      <w:pStyle w:val="Footer"/>
      <w:tabs>
        <w:tab w:val="clear" w:pos="4680"/>
        <w:tab w:val="clear" w:pos="9360"/>
        <w:tab w:val="center" w:pos="2995"/>
      </w:tabs>
      <w:spacing w:before="120"/>
    </w:pPr>
    <w:r>
      <w:t>[879]</w:t>
    </w:r>
    <w:r>
      <w:tab/>
    </w:r>
    <w:r w:rsidR="003724B3">
      <w:fldChar w:fldCharType="begin"/>
    </w:r>
    <w:r>
      <w:instrText xml:space="preserve"> PAGE  \* MERGEFORMAT </w:instrText>
    </w:r>
    <w:r w:rsidR="003724B3">
      <w:fldChar w:fldCharType="separate"/>
    </w:r>
    <w:r>
      <w:rPr>
        <w:noProof/>
      </w:rPr>
      <w:t>5</w:t>
    </w:r>
    <w:r w:rsidR="003724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496" w:rsidRDefault="00DE178D">
      <w:r>
        <w:separator/>
      </w:r>
    </w:p>
  </w:footnote>
  <w:footnote w:type="continuationSeparator" w:id="0">
    <w:p w:rsidR="009F1496" w:rsidRDefault="00DE17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419HTC09"/>
    <w:docVar w:name="CoverBillType" w:val="b"/>
    <w:docVar w:name="docpath" w:val="L:\Council\bills\BBM\9419HTC09.DOCX"/>
    <w:docVar w:name="dvBillNumber" w:val="879"/>
    <w:docVar w:name="dvBillNumberPrefix" w:val="S. "/>
    <w:docVar w:name="dvOriginalBody" w:val="Senate"/>
    <w:docVar w:name="dvSteno" w:val="BBM"/>
    <w:docVar w:name="NameofBody" w:val="s"/>
    <w:docVar w:name="vgroup2" w:val="Council"/>
  </w:docVars>
  <w:rsids>
    <w:rsidRoot w:val="009F1496"/>
    <w:rsid w:val="00016DB1"/>
    <w:rsid w:val="000A3422"/>
    <w:rsid w:val="000D6D4F"/>
    <w:rsid w:val="000F23CF"/>
    <w:rsid w:val="00113707"/>
    <w:rsid w:val="001414B5"/>
    <w:rsid w:val="001468ED"/>
    <w:rsid w:val="00181345"/>
    <w:rsid w:val="001C108C"/>
    <w:rsid w:val="002638F8"/>
    <w:rsid w:val="00291CD1"/>
    <w:rsid w:val="002D12C3"/>
    <w:rsid w:val="002D57C1"/>
    <w:rsid w:val="00304304"/>
    <w:rsid w:val="00324FBA"/>
    <w:rsid w:val="003724B3"/>
    <w:rsid w:val="003D4EFA"/>
    <w:rsid w:val="003E0111"/>
    <w:rsid w:val="00501523"/>
    <w:rsid w:val="00503102"/>
    <w:rsid w:val="00505D11"/>
    <w:rsid w:val="00563F61"/>
    <w:rsid w:val="005B3A52"/>
    <w:rsid w:val="005C5680"/>
    <w:rsid w:val="005C739D"/>
    <w:rsid w:val="00616E93"/>
    <w:rsid w:val="006718CB"/>
    <w:rsid w:val="007107A2"/>
    <w:rsid w:val="00764BE7"/>
    <w:rsid w:val="00797B97"/>
    <w:rsid w:val="007A68B4"/>
    <w:rsid w:val="007C2538"/>
    <w:rsid w:val="007C7D4A"/>
    <w:rsid w:val="008F2EA4"/>
    <w:rsid w:val="009F1496"/>
    <w:rsid w:val="009F2A34"/>
    <w:rsid w:val="00A06E0B"/>
    <w:rsid w:val="00A61D0E"/>
    <w:rsid w:val="00A64D57"/>
    <w:rsid w:val="00AB1F84"/>
    <w:rsid w:val="00AC39B6"/>
    <w:rsid w:val="00B127FC"/>
    <w:rsid w:val="00B15F01"/>
    <w:rsid w:val="00B249FD"/>
    <w:rsid w:val="00B91A67"/>
    <w:rsid w:val="00C12036"/>
    <w:rsid w:val="00C622A6"/>
    <w:rsid w:val="00CA64C1"/>
    <w:rsid w:val="00D67E84"/>
    <w:rsid w:val="00D81BFC"/>
    <w:rsid w:val="00DA241B"/>
    <w:rsid w:val="00DE178D"/>
    <w:rsid w:val="00E2714A"/>
    <w:rsid w:val="00E3432D"/>
    <w:rsid w:val="00EA0903"/>
    <w:rsid w:val="00EC1BF7"/>
    <w:rsid w:val="00EC3187"/>
    <w:rsid w:val="00EF2A20"/>
    <w:rsid w:val="00F05BCE"/>
    <w:rsid w:val="00F347A7"/>
    <w:rsid w:val="00F40561"/>
    <w:rsid w:val="00F727FA"/>
    <w:rsid w:val="00F87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007D18-4D98-4620-89B0-5C820FA7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49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149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496"/>
    <w:rPr>
      <w:rFonts w:eastAsia="Times New Roman" w:cs="Times New Roman"/>
      <w:b/>
      <w:sz w:val="30"/>
      <w:szCs w:val="20"/>
    </w:rPr>
  </w:style>
  <w:style w:type="paragraph" w:styleId="Header">
    <w:name w:val="header"/>
    <w:basedOn w:val="Normal"/>
    <w:link w:val="HeaderChar"/>
    <w:uiPriority w:val="99"/>
    <w:semiHidden/>
    <w:unhideWhenUsed/>
    <w:rsid w:val="009F1496"/>
    <w:pPr>
      <w:tabs>
        <w:tab w:val="center" w:pos="4320"/>
        <w:tab w:val="right" w:pos="8640"/>
      </w:tabs>
    </w:pPr>
  </w:style>
  <w:style w:type="character" w:customStyle="1" w:styleId="HeaderChar">
    <w:name w:val="Header Char"/>
    <w:basedOn w:val="DefaultParagraphFont"/>
    <w:link w:val="Header"/>
    <w:uiPriority w:val="99"/>
    <w:semiHidden/>
    <w:rsid w:val="009F1496"/>
    <w:rPr>
      <w:rFonts w:eastAsia="Times New Roman" w:cs="Times New Roman"/>
      <w:szCs w:val="20"/>
    </w:rPr>
  </w:style>
  <w:style w:type="paragraph" w:styleId="Footer">
    <w:name w:val="footer"/>
    <w:basedOn w:val="Normal"/>
    <w:link w:val="FooterChar"/>
    <w:uiPriority w:val="99"/>
    <w:unhideWhenUsed/>
    <w:rsid w:val="009F1496"/>
    <w:pPr>
      <w:tabs>
        <w:tab w:val="center" w:pos="4680"/>
        <w:tab w:val="right" w:pos="9360"/>
      </w:tabs>
    </w:pPr>
  </w:style>
  <w:style w:type="character" w:customStyle="1" w:styleId="FooterChar">
    <w:name w:val="Footer Char"/>
    <w:basedOn w:val="DefaultParagraphFont"/>
    <w:link w:val="Footer"/>
    <w:uiPriority w:val="99"/>
    <w:rsid w:val="009F1496"/>
    <w:rPr>
      <w:rFonts w:eastAsia="Times New Roman" w:cs="Times New Roman"/>
      <w:szCs w:val="20"/>
    </w:rPr>
  </w:style>
  <w:style w:type="character" w:styleId="PageNumber">
    <w:name w:val="page number"/>
    <w:basedOn w:val="DefaultParagraphFont"/>
    <w:uiPriority w:val="99"/>
    <w:semiHidden/>
    <w:unhideWhenUsed/>
    <w:rsid w:val="009F1496"/>
  </w:style>
  <w:style w:type="character" w:styleId="LineNumber">
    <w:name w:val="line number"/>
    <w:basedOn w:val="DefaultParagraphFont"/>
    <w:uiPriority w:val="99"/>
    <w:semiHidden/>
    <w:unhideWhenUsed/>
    <w:rsid w:val="009F1496"/>
  </w:style>
  <w:style w:type="paragraph" w:customStyle="1" w:styleId="BillDots">
    <w:name w:val="BillDots"/>
    <w:basedOn w:val="Normal"/>
    <w:autoRedefine/>
    <w:qFormat/>
    <w:rsid w:val="009F149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F1496"/>
    <w:pPr>
      <w:tabs>
        <w:tab w:val="right" w:pos="5904"/>
      </w:tabs>
    </w:pPr>
  </w:style>
  <w:style w:type="character" w:styleId="Hyperlink">
    <w:name w:val="Hyperlink"/>
    <w:basedOn w:val="DefaultParagraphFont"/>
    <w:uiPriority w:val="99"/>
    <w:unhideWhenUsed/>
    <w:rsid w:val="009F1496"/>
    <w:rPr>
      <w:color w:val="0000FF" w:themeColor="hyperlink"/>
      <w:u w:val="single"/>
    </w:rPr>
  </w:style>
  <w:style w:type="paragraph" w:styleId="NormalWeb">
    <w:name w:val="Normal (Web)"/>
    <w:basedOn w:val="Normal"/>
    <w:uiPriority w:val="99"/>
    <w:unhideWhenUsed/>
    <w:rsid w:val="00B15F01"/>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1-09.docx" TargetMode="External"/><Relationship Id="rId13" Type="http://schemas.openxmlformats.org/officeDocument/2006/relationships/hyperlink" Target="file:///h:\HJ%20Archive\2010\03-09-10.docx" TargetMode="External"/><Relationship Id="rId18" Type="http://schemas.openxmlformats.org/officeDocument/2006/relationships/hyperlink" Target="file:///h:\HJ%20Archive\2010\05-25-10.docx" TargetMode="External"/><Relationship Id="rId26" Type="http://schemas.openxmlformats.org/officeDocument/2006/relationships/hyperlink" Target="file:///h:\HJ%20Archive\2010\06-15-10.docx" TargetMode="External"/><Relationship Id="rId3" Type="http://schemas.openxmlformats.org/officeDocument/2006/relationships/settings" Target="settings.xml"/><Relationship Id="rId21" Type="http://schemas.openxmlformats.org/officeDocument/2006/relationships/hyperlink" Target="file:///h:\HJ%20Archive\2010\05-26-10.docx" TargetMode="External"/><Relationship Id="rId34" Type="http://schemas.openxmlformats.org/officeDocument/2006/relationships/footer" Target="footer2.xml"/><Relationship Id="rId7" Type="http://schemas.openxmlformats.org/officeDocument/2006/relationships/hyperlink" Target="file:///h:\SJ%20Archive\2009\05-21-09.docx" TargetMode="External"/><Relationship Id="rId12" Type="http://schemas.openxmlformats.org/officeDocument/2006/relationships/hyperlink" Target="file:///h:\SJ%20Archive\2010\03-09-10.docx" TargetMode="External"/><Relationship Id="rId17" Type="http://schemas.openxmlformats.org/officeDocument/2006/relationships/hyperlink" Target="file:///h:\HJ%20Archive\2010\05-25-10.docx" TargetMode="External"/><Relationship Id="rId25" Type="http://schemas.openxmlformats.org/officeDocument/2006/relationships/hyperlink" Target="file:///h:\HJ%20Archive\2010\06-15-10.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0\05-20-10.docx" TargetMode="External"/><Relationship Id="rId20" Type="http://schemas.openxmlformats.org/officeDocument/2006/relationships/hyperlink" Target="file:///h:\HJ%20Archive\2010\05-26-10.docx" TargetMode="External"/><Relationship Id="rId29" Type="http://schemas.openxmlformats.org/officeDocument/2006/relationships/hyperlink" Target="file:///p:\pprever\2009-10\879_2010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04-10.docx" TargetMode="External"/><Relationship Id="rId24" Type="http://schemas.openxmlformats.org/officeDocument/2006/relationships/hyperlink" Target="file:///h:\SJ%20Archive\2010\06-01-10.docx" TargetMode="External"/><Relationship Id="rId32" Type="http://schemas.openxmlformats.org/officeDocument/2006/relationships/hyperlink" Target="file:///p:\pprever\2009-10\879_20100601.docx" TargetMode="External"/><Relationship Id="rId5" Type="http://schemas.openxmlformats.org/officeDocument/2006/relationships/footnotes" Target="footnotes.xml"/><Relationship Id="rId15" Type="http://schemas.openxmlformats.org/officeDocument/2006/relationships/hyperlink" Target="file:///h:\HJ%20Archive\2010\05-12-10.docx" TargetMode="External"/><Relationship Id="rId23" Type="http://schemas.openxmlformats.org/officeDocument/2006/relationships/hyperlink" Target="file:///h:\SJ%20Archive\2010\06-01-10.docx" TargetMode="External"/><Relationship Id="rId28" Type="http://schemas.openxmlformats.org/officeDocument/2006/relationships/hyperlink" Target="file:///p:\pprever\2009-10\879_20100303.docx" TargetMode="External"/><Relationship Id="rId36" Type="http://schemas.openxmlformats.org/officeDocument/2006/relationships/theme" Target="theme/theme1.xml"/><Relationship Id="rId10" Type="http://schemas.openxmlformats.org/officeDocument/2006/relationships/hyperlink" Target="file:///h:\SJ%20Archive\2010\03-04-10.docx" TargetMode="External"/><Relationship Id="rId19" Type="http://schemas.openxmlformats.org/officeDocument/2006/relationships/hyperlink" Target="file:///h:\HJ%20Archive\2010\05-25-10.docx" TargetMode="External"/><Relationship Id="rId31" Type="http://schemas.openxmlformats.org/officeDocument/2006/relationships/hyperlink" Target="file:///p:\pprever\2009-10\879_20100525.docx" TargetMode="External"/><Relationship Id="rId4" Type="http://schemas.openxmlformats.org/officeDocument/2006/relationships/webSettings" Target="webSettings.xml"/><Relationship Id="rId9" Type="http://schemas.openxmlformats.org/officeDocument/2006/relationships/hyperlink" Target="file:///h:\SJ%20Archive\2010\03-03-10.docx" TargetMode="External"/><Relationship Id="rId14" Type="http://schemas.openxmlformats.org/officeDocument/2006/relationships/hyperlink" Target="file:///h:\HJ%20Archive\2010\03-09-10.docx" TargetMode="External"/><Relationship Id="rId22" Type="http://schemas.openxmlformats.org/officeDocument/2006/relationships/hyperlink" Target="file:///h:\HJ%20Archive\2010\05-26-10.docx" TargetMode="External"/><Relationship Id="rId27" Type="http://schemas.openxmlformats.org/officeDocument/2006/relationships/hyperlink" Target="file:///p:\pprever\2009-10\879_20090521.docx" TargetMode="External"/><Relationship Id="rId30" Type="http://schemas.openxmlformats.org/officeDocument/2006/relationships/hyperlink" Target="file:///p:\pprever\2009-10\879_20100512.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7552-9081-4881-AC49-DCE6816F5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1580</Words>
  <Characters>8422</Characters>
  <Application>Microsoft Office Word</Application>
  <DocSecurity>0</DocSecurity>
  <Lines>241</Lines>
  <Paragraphs>89</Paragraphs>
  <ScaleCrop>false</ScaleCrop>
  <Company> </Company>
  <LinksUpToDate>false</LinksUpToDate>
  <CharactersWithSpaces>10041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879: Property taxation - South Carolina Legislature Online</dc:title>
  <dc:subject/>
  <dc:creator>Brenda Melton</dc:creator>
  <cp:keywords/>
  <dc:description/>
  <cp:lastModifiedBy>N Cumfer</cp:lastModifiedBy>
  <cp:revision>8</cp:revision>
  <cp:lastPrinted>2009-05-21T16:11:00Z</cp:lastPrinted>
  <dcterms:created xsi:type="dcterms:W3CDTF">2010-06-01T23:09:00Z</dcterms:created>
  <dcterms:modified xsi:type="dcterms:W3CDTF">2014-11-24T15:07:00Z</dcterms:modified>
</cp:coreProperties>
</file>