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671" w:rsidRDefault="00C35671" w:rsidP="00C35671">
      <w:pPr>
        <w:widowControl w:val="0"/>
        <w:jc w:val="center"/>
      </w:pPr>
      <w:bookmarkStart w:id="0" w:name="_GoBack"/>
      <w:bookmarkEnd w:id="0"/>
      <w:r w:rsidRPr="00C35671">
        <w:rPr>
          <w:b/>
        </w:rPr>
        <w:t>South Carolina General Assembly</w:t>
      </w:r>
    </w:p>
    <w:p w:rsidR="00C35671" w:rsidRDefault="00C35671" w:rsidP="00C35671">
      <w:pPr>
        <w:widowControl w:val="0"/>
        <w:jc w:val="center"/>
      </w:pPr>
      <w:r>
        <w:t>118th Session, 2009-2010</w:t>
      </w:r>
    </w:p>
    <w:p w:rsidR="00C35671" w:rsidRDefault="00C35671" w:rsidP="00C35671">
      <w:pPr>
        <w:widowControl w:val="0"/>
        <w:jc w:val="left"/>
      </w:pPr>
    </w:p>
    <w:p w:rsidR="00C35671" w:rsidRDefault="00C35671" w:rsidP="00C35671">
      <w:pPr>
        <w:widowControl w:val="0"/>
        <w:jc w:val="left"/>
        <w:rPr>
          <w:b/>
        </w:rPr>
      </w:pPr>
      <w:r w:rsidRPr="00C35671">
        <w:rPr>
          <w:b/>
        </w:rPr>
        <w:t>S.</w:t>
      </w:r>
      <w:r>
        <w:rPr>
          <w:b/>
        </w:rPr>
        <w:t xml:space="preserve"> </w:t>
      </w:r>
      <w:r w:rsidRPr="00C35671">
        <w:rPr>
          <w:b/>
        </w:rPr>
        <w:t>940</w:t>
      </w:r>
    </w:p>
    <w:p w:rsidR="00C35671" w:rsidRDefault="00C35671" w:rsidP="00C35671">
      <w:pPr>
        <w:widowControl w:val="0"/>
        <w:jc w:val="left"/>
        <w:rPr>
          <w:b/>
        </w:rPr>
      </w:pPr>
    </w:p>
    <w:p w:rsidR="00C35671" w:rsidRDefault="00C35671" w:rsidP="00C35671">
      <w:pPr>
        <w:widowControl w:val="0"/>
        <w:jc w:val="left"/>
      </w:pPr>
      <w:r w:rsidRPr="00C35671">
        <w:rPr>
          <w:b/>
        </w:rPr>
        <w:t>STATUS INFORMATION</w:t>
      </w:r>
    </w:p>
    <w:p w:rsidR="00C35671" w:rsidRDefault="00C35671" w:rsidP="00C35671">
      <w:pPr>
        <w:widowControl w:val="0"/>
        <w:jc w:val="left"/>
      </w:pPr>
    </w:p>
    <w:p w:rsidR="00C35671" w:rsidRDefault="00C35671" w:rsidP="00C35671">
      <w:pPr>
        <w:widowControl w:val="0"/>
        <w:jc w:val="left"/>
      </w:pPr>
      <w:r>
        <w:t>General Bill</w:t>
      </w:r>
    </w:p>
    <w:p w:rsidR="00C35671" w:rsidRDefault="00C35671" w:rsidP="00C35671">
      <w:pPr>
        <w:widowControl w:val="0"/>
        <w:jc w:val="left"/>
      </w:pPr>
      <w:r>
        <w:t>Sponsors: Senator Hayes</w:t>
      </w:r>
    </w:p>
    <w:p w:rsidR="00C35671" w:rsidRDefault="00C35671" w:rsidP="00C35671">
      <w:pPr>
        <w:widowControl w:val="0"/>
        <w:jc w:val="left"/>
      </w:pPr>
      <w:r>
        <w:t>Document Path: l:\council\bills\gjk\20391sd10.docx</w:t>
      </w:r>
    </w:p>
    <w:p w:rsidR="00C35671" w:rsidRDefault="00C35671" w:rsidP="00C35671">
      <w:pPr>
        <w:widowControl w:val="0"/>
        <w:jc w:val="left"/>
      </w:pPr>
    </w:p>
    <w:p w:rsidR="0037510C" w:rsidRDefault="0037510C" w:rsidP="00C35671">
      <w:pPr>
        <w:widowControl w:val="0"/>
        <w:jc w:val="left"/>
      </w:pPr>
      <w:r>
        <w:t>Introduced in the Senate on January 12, 2010</w:t>
      </w:r>
    </w:p>
    <w:p w:rsidR="0037510C" w:rsidRPr="0037510C" w:rsidRDefault="0037510C" w:rsidP="00C35671">
      <w:pPr>
        <w:widowControl w:val="0"/>
        <w:jc w:val="left"/>
      </w:pPr>
      <w:r>
        <w:t xml:space="preserve">Currently residing in the Senate Committee on </w:t>
      </w:r>
      <w:r w:rsidRPr="0037510C">
        <w:rPr>
          <w:b/>
        </w:rPr>
        <w:t>Judiciary</w:t>
      </w:r>
    </w:p>
    <w:p w:rsidR="0037510C" w:rsidRDefault="0037510C" w:rsidP="00C35671">
      <w:pPr>
        <w:widowControl w:val="0"/>
        <w:jc w:val="left"/>
      </w:pPr>
    </w:p>
    <w:p w:rsidR="00C35671" w:rsidRDefault="00C35671" w:rsidP="00C35671">
      <w:pPr>
        <w:widowControl w:val="0"/>
        <w:jc w:val="left"/>
      </w:pPr>
      <w:r>
        <w:t xml:space="preserve">Summary: </w:t>
      </w:r>
      <w:r w:rsidR="00764D8C">
        <w:t>Probate court</w:t>
      </w:r>
    </w:p>
    <w:p w:rsidR="00C35671" w:rsidRDefault="00C35671" w:rsidP="00C35671">
      <w:pPr>
        <w:widowControl w:val="0"/>
        <w:jc w:val="left"/>
      </w:pPr>
    </w:p>
    <w:p w:rsidR="00C35671" w:rsidRDefault="00C35671" w:rsidP="00C35671">
      <w:pPr>
        <w:widowControl w:val="0"/>
        <w:jc w:val="left"/>
      </w:pPr>
    </w:p>
    <w:p w:rsidR="00C35671" w:rsidRDefault="00C35671" w:rsidP="00C35671">
      <w:pPr>
        <w:widowControl w:val="0"/>
        <w:tabs>
          <w:tab w:val="center" w:pos="590"/>
          <w:tab w:val="center" w:pos="1440"/>
          <w:tab w:val="left" w:pos="1872"/>
          <w:tab w:val="left" w:pos="9187"/>
        </w:tabs>
        <w:jc w:val="left"/>
      </w:pPr>
      <w:r w:rsidRPr="00C35671">
        <w:rPr>
          <w:b/>
        </w:rPr>
        <w:t>HISTORY OF LEGISLATIVE ACTIONS</w:t>
      </w:r>
    </w:p>
    <w:p w:rsidR="00C35671" w:rsidRDefault="00C35671" w:rsidP="00C35671">
      <w:pPr>
        <w:widowControl w:val="0"/>
        <w:tabs>
          <w:tab w:val="center" w:pos="590"/>
          <w:tab w:val="center" w:pos="1440"/>
          <w:tab w:val="left" w:pos="1872"/>
          <w:tab w:val="left" w:pos="9187"/>
        </w:tabs>
        <w:jc w:val="left"/>
      </w:pPr>
    </w:p>
    <w:p w:rsidR="00C35671" w:rsidRPr="00C35671" w:rsidRDefault="00C35671" w:rsidP="00C35671">
      <w:pPr>
        <w:widowControl w:val="0"/>
        <w:tabs>
          <w:tab w:val="center" w:pos="590"/>
          <w:tab w:val="center" w:pos="1440"/>
          <w:tab w:val="left" w:pos="1872"/>
          <w:tab w:val="left" w:pos="9187"/>
        </w:tabs>
        <w:jc w:val="left"/>
      </w:pPr>
      <w:r w:rsidRPr="00C35671">
        <w:rPr>
          <w:u w:val="single"/>
        </w:rPr>
        <w:tab/>
        <w:t>Date</w:t>
      </w:r>
      <w:r w:rsidRPr="00C35671">
        <w:rPr>
          <w:u w:val="single"/>
        </w:rPr>
        <w:tab/>
        <w:t>Body</w:t>
      </w:r>
      <w:r w:rsidRPr="00C35671">
        <w:rPr>
          <w:u w:val="single"/>
        </w:rPr>
        <w:tab/>
        <w:t>Action Description with journal page number</w:t>
      </w:r>
      <w:r w:rsidRPr="00C35671">
        <w:rPr>
          <w:u w:val="single"/>
        </w:rPr>
        <w:tab/>
      </w:r>
    </w:p>
    <w:p w:rsidR="009A7F9C" w:rsidRDefault="009A7F9C" w:rsidP="009A7F9C">
      <w:pPr>
        <w:widowControl w:val="0"/>
        <w:tabs>
          <w:tab w:val="right" w:pos="1008"/>
          <w:tab w:val="left" w:pos="1152"/>
          <w:tab w:val="left" w:pos="1872"/>
          <w:tab w:val="left" w:pos="9187"/>
        </w:tabs>
        <w:ind w:left="2088" w:hanging="2088"/>
        <w:jc w:val="left"/>
      </w:pPr>
      <w:r>
        <w:tab/>
        <w:t>12/9/2009</w:t>
      </w:r>
      <w:r>
        <w:tab/>
        <w:t>Senate</w:t>
      </w:r>
      <w:r>
        <w:tab/>
      </w:r>
      <w:r w:rsidRPr="0047354F">
        <w:t>Prefiled</w:t>
      </w:r>
    </w:p>
    <w:p w:rsidR="009A7F9C" w:rsidRDefault="009A7F9C" w:rsidP="009A7F9C">
      <w:pPr>
        <w:widowControl w:val="0"/>
        <w:tabs>
          <w:tab w:val="right" w:pos="1008"/>
          <w:tab w:val="left" w:pos="1152"/>
          <w:tab w:val="left" w:pos="1872"/>
          <w:tab w:val="left" w:pos="9187"/>
        </w:tabs>
        <w:ind w:left="2088" w:hanging="2088"/>
        <w:jc w:val="left"/>
      </w:pPr>
      <w:r>
        <w:tab/>
        <w:t>12/9/2009</w:t>
      </w:r>
      <w:r>
        <w:tab/>
        <w:t>Senate</w:t>
      </w:r>
      <w:r>
        <w:tab/>
      </w:r>
      <w:r w:rsidRPr="0047354F">
        <w:t xml:space="preserve">Referred to Committee on </w:t>
      </w:r>
      <w:r w:rsidRPr="0047354F">
        <w:rPr>
          <w:b/>
        </w:rPr>
        <w:t>Judiciary</w:t>
      </w:r>
    </w:p>
    <w:p w:rsidR="009A7F9C" w:rsidRDefault="009A7F9C" w:rsidP="009A7F9C">
      <w:pPr>
        <w:widowControl w:val="0"/>
        <w:tabs>
          <w:tab w:val="right" w:pos="1008"/>
          <w:tab w:val="left" w:pos="1152"/>
          <w:tab w:val="left" w:pos="1872"/>
          <w:tab w:val="left" w:pos="9187"/>
        </w:tabs>
        <w:ind w:left="2088" w:hanging="2088"/>
        <w:jc w:val="left"/>
      </w:pPr>
      <w:r>
        <w:tab/>
        <w:t>1/12/2010</w:t>
      </w:r>
      <w:r>
        <w:tab/>
        <w:t>Senate</w:t>
      </w:r>
      <w:r>
        <w:tab/>
      </w:r>
      <w:r w:rsidRPr="0047354F">
        <w:t xml:space="preserve">Introduced and read first time </w:t>
      </w:r>
      <w:hyperlink r:id="rId7" w:history="1">
        <w:r w:rsidRPr="00225FE6">
          <w:rPr>
            <w:rStyle w:val="Hyperlink"/>
          </w:rPr>
          <w:t>SJ</w:t>
        </w:r>
      </w:hyperlink>
      <w:r>
        <w:noBreakHyphen/>
      </w:r>
      <w:r w:rsidRPr="0047354F">
        <w:t>27</w:t>
      </w:r>
    </w:p>
    <w:p w:rsidR="009A7F9C" w:rsidRDefault="009A7F9C" w:rsidP="009A7F9C">
      <w:pPr>
        <w:widowControl w:val="0"/>
        <w:tabs>
          <w:tab w:val="right" w:pos="1008"/>
          <w:tab w:val="left" w:pos="1152"/>
          <w:tab w:val="left" w:pos="1872"/>
          <w:tab w:val="left" w:pos="9187"/>
        </w:tabs>
        <w:ind w:left="2088" w:hanging="2088"/>
        <w:jc w:val="left"/>
      </w:pPr>
      <w:r>
        <w:tab/>
        <w:t>1/12/2010</w:t>
      </w:r>
      <w:r>
        <w:tab/>
        <w:t>Senate</w:t>
      </w:r>
      <w:r>
        <w:tab/>
      </w:r>
      <w:r w:rsidRPr="0047354F">
        <w:t xml:space="preserve">Referred to Committee on </w:t>
      </w:r>
      <w:r w:rsidRPr="0047354F">
        <w:rPr>
          <w:b/>
        </w:rPr>
        <w:t>Judiciary</w:t>
      </w:r>
      <w:r w:rsidRPr="0047354F">
        <w:t xml:space="preserve"> </w:t>
      </w:r>
      <w:hyperlink r:id="rId8" w:history="1">
        <w:r w:rsidRPr="00225FE6">
          <w:rPr>
            <w:rStyle w:val="Hyperlink"/>
          </w:rPr>
          <w:t>SJ</w:t>
        </w:r>
      </w:hyperlink>
      <w:r>
        <w:noBreakHyphen/>
      </w:r>
      <w:r w:rsidRPr="0047354F">
        <w:t>27</w:t>
      </w:r>
    </w:p>
    <w:p w:rsidR="009A7F9C" w:rsidRDefault="009A7F9C" w:rsidP="009A7F9C">
      <w:pPr>
        <w:widowControl w:val="0"/>
        <w:tabs>
          <w:tab w:val="right" w:pos="1008"/>
          <w:tab w:val="left" w:pos="1152"/>
          <w:tab w:val="left" w:pos="1872"/>
          <w:tab w:val="left" w:pos="9187"/>
        </w:tabs>
        <w:ind w:left="2088" w:hanging="2088"/>
        <w:jc w:val="left"/>
      </w:pPr>
      <w:r>
        <w:tab/>
        <w:t>1/25/2010</w:t>
      </w:r>
      <w:r>
        <w:tab/>
        <w:t>Senate</w:t>
      </w:r>
      <w:r>
        <w:tab/>
      </w:r>
      <w:r w:rsidRPr="0047354F">
        <w:t>Referred to S</w:t>
      </w:r>
      <w:r>
        <w:t xml:space="preserve">ubcommittee: Malloy (ch), Ford, </w:t>
      </w:r>
      <w:r w:rsidRPr="0047354F">
        <w:t>Massey, L.Martin, Mulvaney</w:t>
      </w:r>
    </w:p>
    <w:p w:rsidR="009A7F9C" w:rsidRDefault="009A7F9C" w:rsidP="009A7F9C">
      <w:pPr>
        <w:widowControl w:val="0"/>
        <w:tabs>
          <w:tab w:val="right" w:pos="1008"/>
          <w:tab w:val="left" w:pos="1152"/>
          <w:tab w:val="left" w:pos="1872"/>
          <w:tab w:val="left" w:pos="9187"/>
        </w:tabs>
        <w:ind w:left="2088" w:hanging="2088"/>
        <w:jc w:val="left"/>
      </w:pPr>
    </w:p>
    <w:p w:rsidR="00C35671" w:rsidRPr="00C35671" w:rsidRDefault="00C35671" w:rsidP="00C35671">
      <w:pPr>
        <w:widowControl w:val="0"/>
        <w:tabs>
          <w:tab w:val="right" w:pos="1008"/>
          <w:tab w:val="left" w:pos="1152"/>
          <w:tab w:val="left" w:pos="1872"/>
          <w:tab w:val="left" w:pos="9187"/>
        </w:tabs>
        <w:ind w:left="2088" w:hanging="2088"/>
        <w:jc w:val="left"/>
      </w:pPr>
    </w:p>
    <w:p w:rsidR="00C35671" w:rsidRDefault="00C35671" w:rsidP="00C35671">
      <w:pPr>
        <w:widowControl w:val="0"/>
        <w:jc w:val="left"/>
      </w:pPr>
      <w:r w:rsidRPr="00C35671">
        <w:rPr>
          <w:b/>
        </w:rPr>
        <w:t>VERSIONS OF THIS BILL</w:t>
      </w:r>
    </w:p>
    <w:p w:rsidR="00C35671" w:rsidRDefault="00C35671" w:rsidP="00C35671">
      <w:pPr>
        <w:widowControl w:val="0"/>
        <w:jc w:val="left"/>
      </w:pPr>
    </w:p>
    <w:p w:rsidR="00C35671" w:rsidRDefault="00FF1303" w:rsidP="00C35671">
      <w:pPr>
        <w:widowControl w:val="0"/>
        <w:jc w:val="left"/>
      </w:pPr>
      <w:hyperlink r:id="rId9" w:history="1">
        <w:r w:rsidR="00C35671">
          <w:rPr>
            <w:rStyle w:val="Hyperlink"/>
          </w:rPr>
          <w:t>12/9/2009</w:t>
        </w:r>
      </w:hyperlink>
    </w:p>
    <w:p w:rsidR="00C35671" w:rsidRDefault="00C35671" w:rsidP="00C35671"/>
    <w:p w:rsidR="00C35671" w:rsidRDefault="00C35671" w:rsidP="00C35671">
      <w:pPr>
        <w:sectPr w:rsidR="00C35671" w:rsidSect="00C3567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3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570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40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62-7-20</w:t>
      </w:r>
      <w:r w:rsidR="007F492F">
        <w:t>1</w:t>
      </w:r>
      <w:r>
        <w:t xml:space="preserve">, CODE OF LAWS OF SOUTH CAROLINA, 1976, RELATING TO THE EXCLUSIVE JURISDICTION OF THE PROBATE </w:t>
      </w:r>
      <w:r w:rsidR="00E16B26">
        <w:t xml:space="preserve">COURT </w:t>
      </w:r>
      <w:r>
        <w:t>REGULATING PROCEEDINGS CONCERNING THE INTERNAL AFFAIRS OF TRUSTS AND EXCEPTIONS TO THIS EXCLUSIVE JURISDICTION, SO AS TO CORRECT A REFERENCE</w:t>
      </w:r>
      <w:r w:rsidR="00A93B2E">
        <w:t xml:space="preserve"> REGARDING </w:t>
      </w:r>
      <w:r w:rsidR="007F492F">
        <w:t>MATTERS WHICH MAY BE REMOVED TO THE CIRCUIT COURT.</w:t>
      </w:r>
      <w:r>
        <w:t xml:space="preserve"> </w:t>
      </w:r>
    </w:p>
    <w:p w:rsidR="00A93B2E" w:rsidRDefault="00A93B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95700" w:rsidRDefault="00F95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F95700" w:rsidRDefault="00F95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700" w:rsidRDefault="00F95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3B2E">
        <w:t>Section 62-7-201(a) of the 1976 Code is amended to read:</w:t>
      </w:r>
    </w:p>
    <w:p w:rsidR="00A93B2E" w:rsidRDefault="00A93B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B2E" w:rsidRDefault="00A93B2E" w:rsidP="00A93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t>“(a)</w:t>
      </w:r>
      <w:r>
        <w:rPr>
          <w:rFonts w:eastAsiaTheme="minorEastAsia"/>
          <w:szCs w:val="24"/>
        </w:rPr>
        <w:tab/>
        <w:t>Subject to the provisions of Section 62</w:t>
      </w:r>
      <w:r>
        <w:rPr>
          <w:rFonts w:eastAsiaTheme="minorEastAsia"/>
          <w:szCs w:val="24"/>
        </w:rPr>
        <w:noBreakHyphen/>
        <w:t>1</w:t>
      </w:r>
      <w:r>
        <w:rPr>
          <w:rFonts w:eastAsiaTheme="minorEastAsia"/>
          <w:szCs w:val="24"/>
        </w:rPr>
        <w:noBreakHyphen/>
        <w:t xml:space="preserve">302(c) </w:t>
      </w:r>
      <w:r>
        <w:rPr>
          <w:rFonts w:eastAsiaTheme="minorEastAsia"/>
          <w:szCs w:val="24"/>
          <w:u w:val="single"/>
        </w:rPr>
        <w:t>and (d)</w:t>
      </w:r>
      <w:r>
        <w:rPr>
          <w:rFonts w:eastAsiaTheme="minorEastAsia"/>
          <w:szCs w:val="24"/>
        </w:rPr>
        <w:t xml:space="preserve">, the probate court has exclusive jurisdiction of proceedings initiated by interested parties concerning the internal affairs of trusts.  Proceedings </w:t>
      </w:r>
      <w:r>
        <w:rPr>
          <w:rFonts w:eastAsiaTheme="minorEastAsia"/>
          <w:strike/>
          <w:szCs w:val="24"/>
        </w:rPr>
        <w:t>which</w:t>
      </w:r>
      <w:r w:rsidRPr="009B54F8">
        <w:rPr>
          <w:rFonts w:eastAsiaTheme="minorEastAsia"/>
          <w:szCs w:val="24"/>
        </w:rPr>
        <w:t xml:space="preserve"> </w:t>
      </w:r>
      <w:r>
        <w:rPr>
          <w:rFonts w:eastAsiaTheme="minorEastAsia"/>
          <w:szCs w:val="24"/>
          <w:u w:val="single"/>
        </w:rPr>
        <w:t>that</w:t>
      </w:r>
      <w:r>
        <w:rPr>
          <w:rFonts w:eastAsiaTheme="minorEastAsia"/>
          <w:szCs w:val="24"/>
        </w:rPr>
        <w:t xml:space="preserve"> may be maintained </w:t>
      </w:r>
      <w:r>
        <w:rPr>
          <w:rFonts w:eastAsiaTheme="minorEastAsia"/>
          <w:strike/>
          <w:szCs w:val="24"/>
        </w:rPr>
        <w:t>under</w:t>
      </w:r>
      <w:r>
        <w:rPr>
          <w:rFonts w:eastAsiaTheme="minorEastAsia"/>
          <w:szCs w:val="24"/>
        </w:rPr>
        <w:t xml:space="preserve"> </w:t>
      </w:r>
      <w:r>
        <w:rPr>
          <w:rFonts w:eastAsiaTheme="minorEastAsia"/>
          <w:szCs w:val="24"/>
          <w:u w:val="single"/>
        </w:rPr>
        <w:t>pursuant to</w:t>
      </w:r>
      <w:r>
        <w:rPr>
          <w:rFonts w:eastAsiaTheme="minorEastAsia"/>
          <w:szCs w:val="24"/>
        </w:rPr>
        <w:t xml:space="preserve"> this section are those concerning the administration and distribution of trusts, the declaration of rights, and the determination of other matters involving trustees and beneficiaries of trusts.  These include, but are not limited to, proceedings to: </w:t>
      </w:r>
    </w:p>
    <w:p w:rsidR="00A93B2E" w:rsidRDefault="00A93B2E" w:rsidP="00A93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(1)</w:t>
      </w:r>
      <w:r>
        <w:rPr>
          <w:rFonts w:eastAsiaTheme="minorEastAsia"/>
          <w:szCs w:val="24"/>
        </w:rPr>
        <w:tab/>
        <w:t xml:space="preserve">ascertain beneficiaries, determine </w:t>
      </w:r>
      <w:r>
        <w:rPr>
          <w:rFonts w:eastAsiaTheme="minorEastAsia"/>
          <w:strike/>
          <w:szCs w:val="24"/>
        </w:rPr>
        <w:t>any</w:t>
      </w:r>
      <w:r>
        <w:rPr>
          <w:rFonts w:eastAsiaTheme="minorEastAsia"/>
          <w:szCs w:val="24"/>
        </w:rPr>
        <w:t xml:space="preserve"> </w:t>
      </w:r>
      <w:r>
        <w:rPr>
          <w:rFonts w:eastAsiaTheme="minorEastAsia"/>
          <w:szCs w:val="24"/>
          <w:u w:val="single"/>
        </w:rPr>
        <w:t>a</w:t>
      </w:r>
      <w:r>
        <w:rPr>
          <w:rFonts w:eastAsiaTheme="minorEastAsia"/>
          <w:szCs w:val="24"/>
        </w:rPr>
        <w:t xml:space="preserve"> question arising in the administration or distribution of </w:t>
      </w:r>
      <w:r>
        <w:rPr>
          <w:rFonts w:eastAsiaTheme="minorEastAsia"/>
          <w:strike/>
          <w:szCs w:val="24"/>
        </w:rPr>
        <w:t>any</w:t>
      </w:r>
      <w:r>
        <w:rPr>
          <w:rFonts w:eastAsiaTheme="minorEastAsia"/>
          <w:szCs w:val="24"/>
        </w:rPr>
        <w:t xml:space="preserve"> </w:t>
      </w:r>
      <w:r>
        <w:rPr>
          <w:rFonts w:eastAsiaTheme="minorEastAsia"/>
          <w:szCs w:val="24"/>
          <w:u w:val="single"/>
        </w:rPr>
        <w:t>a</w:t>
      </w:r>
      <w:r>
        <w:rPr>
          <w:rFonts w:eastAsiaTheme="minorEastAsia"/>
          <w:szCs w:val="24"/>
        </w:rPr>
        <w:t xml:space="preserve"> trust including questions of construction of trust instruments, instruct trustees, and determine the existence or nonexistence of any immunity, power, privilege, duty, or right; </w:t>
      </w:r>
    </w:p>
    <w:p w:rsidR="00A93B2E" w:rsidRDefault="00A93B2E" w:rsidP="00A93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(2)</w:t>
      </w:r>
      <w:r>
        <w:rPr>
          <w:rFonts w:eastAsiaTheme="minorEastAsia"/>
          <w:szCs w:val="24"/>
        </w:rPr>
        <w:tab/>
        <w:t xml:space="preserve">review and settle interim or final accounts; </w:t>
      </w:r>
    </w:p>
    <w:p w:rsidR="00A93B2E" w:rsidRDefault="00A93B2E" w:rsidP="00A93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(3)</w:t>
      </w:r>
      <w:r>
        <w:rPr>
          <w:rFonts w:eastAsiaTheme="minorEastAsia"/>
          <w:szCs w:val="24"/>
        </w:rPr>
        <w:tab/>
        <w:t xml:space="preserve">review the propriety of employment of </w:t>
      </w:r>
      <w:r>
        <w:rPr>
          <w:rFonts w:eastAsiaTheme="minorEastAsia"/>
          <w:strike/>
          <w:szCs w:val="24"/>
        </w:rPr>
        <w:t>any</w:t>
      </w:r>
      <w:r>
        <w:rPr>
          <w:rFonts w:eastAsiaTheme="minorEastAsia"/>
          <w:szCs w:val="24"/>
        </w:rPr>
        <w:t xml:space="preserve"> </w:t>
      </w:r>
      <w:r>
        <w:rPr>
          <w:rFonts w:eastAsiaTheme="minorEastAsia"/>
          <w:szCs w:val="24"/>
          <w:u w:val="single"/>
        </w:rPr>
        <w:t>a</w:t>
      </w:r>
      <w:r>
        <w:rPr>
          <w:rFonts w:eastAsiaTheme="minorEastAsia"/>
          <w:szCs w:val="24"/>
        </w:rPr>
        <w:t xml:space="preserve"> person by a trustee including </w:t>
      </w:r>
      <w:r>
        <w:rPr>
          <w:rFonts w:eastAsiaTheme="minorEastAsia"/>
          <w:strike/>
          <w:szCs w:val="24"/>
        </w:rPr>
        <w:t>any</w:t>
      </w:r>
      <w:r>
        <w:rPr>
          <w:rFonts w:eastAsiaTheme="minorEastAsia"/>
          <w:szCs w:val="24"/>
        </w:rPr>
        <w:t xml:space="preserve"> </w:t>
      </w:r>
      <w:r>
        <w:rPr>
          <w:rFonts w:eastAsiaTheme="minorEastAsia"/>
          <w:szCs w:val="24"/>
          <w:u w:val="single"/>
        </w:rPr>
        <w:t>an</w:t>
      </w:r>
      <w:r>
        <w:rPr>
          <w:rFonts w:eastAsiaTheme="minorEastAsia"/>
          <w:szCs w:val="24"/>
        </w:rPr>
        <w:t xml:space="preserve"> attorney, auditor, investment advisor or other specialized agent or assistant, and the reasonableness of the </w:t>
      </w:r>
      <w:r>
        <w:rPr>
          <w:rFonts w:eastAsiaTheme="minorEastAsia"/>
          <w:szCs w:val="24"/>
        </w:rPr>
        <w:lastRenderedPageBreak/>
        <w:t xml:space="preserve">compensation of </w:t>
      </w:r>
      <w:r>
        <w:rPr>
          <w:rFonts w:eastAsiaTheme="minorEastAsia"/>
          <w:strike/>
          <w:szCs w:val="24"/>
        </w:rPr>
        <w:t>any</w:t>
      </w:r>
      <w:r>
        <w:rPr>
          <w:rFonts w:eastAsiaTheme="minorEastAsia"/>
          <w:szCs w:val="24"/>
        </w:rPr>
        <w:t xml:space="preserve"> </w:t>
      </w:r>
      <w:r>
        <w:rPr>
          <w:rFonts w:eastAsiaTheme="minorEastAsia"/>
          <w:szCs w:val="24"/>
          <w:u w:val="single"/>
        </w:rPr>
        <w:t>a</w:t>
      </w:r>
      <w:r>
        <w:rPr>
          <w:rFonts w:eastAsiaTheme="minorEastAsia"/>
          <w:szCs w:val="24"/>
        </w:rPr>
        <w:t xml:space="preserve"> person so employed, and the reasonableness of the compensation determined by the trustee for his own services.  </w:t>
      </w:r>
      <w:r>
        <w:rPr>
          <w:rFonts w:eastAsiaTheme="minorEastAsia"/>
          <w:strike/>
          <w:szCs w:val="24"/>
        </w:rPr>
        <w:t>Any</w:t>
      </w:r>
      <w:r>
        <w:rPr>
          <w:rFonts w:eastAsiaTheme="minorEastAsia"/>
          <w:szCs w:val="24"/>
        </w:rPr>
        <w:t xml:space="preserve"> </w:t>
      </w:r>
      <w:r>
        <w:rPr>
          <w:rFonts w:eastAsiaTheme="minorEastAsia"/>
          <w:szCs w:val="24"/>
          <w:u w:val="single"/>
        </w:rPr>
        <w:t>A</w:t>
      </w:r>
      <w:r>
        <w:rPr>
          <w:rFonts w:eastAsiaTheme="minorEastAsia"/>
          <w:szCs w:val="24"/>
        </w:rPr>
        <w:t xml:space="preserve"> person who has received excessive compensation from a trust may be ordered to make appropriate refunds.  The provisions of this section do not apply to the extent there is a contract providing for the compensation to be paid for the trustee’s services or if the trust directs otherwise; and </w:t>
      </w:r>
    </w:p>
    <w:p w:rsidR="00A93B2E" w:rsidRDefault="00A93B2E" w:rsidP="00A93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r>
      <w:r>
        <w:rPr>
          <w:rFonts w:eastAsiaTheme="minorEastAsia"/>
          <w:szCs w:val="24"/>
        </w:rPr>
        <w:tab/>
        <w:t>(4)</w:t>
      </w:r>
      <w:r>
        <w:rPr>
          <w:rFonts w:eastAsiaTheme="minorEastAsia"/>
          <w:szCs w:val="24"/>
        </w:rPr>
        <w:tab/>
        <w:t>appoint or remove a trustee.”</w:t>
      </w:r>
    </w:p>
    <w:p w:rsidR="00A93B2E" w:rsidRDefault="00A93B2E" w:rsidP="00A93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10776B" w:rsidRDefault="00F95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3B2E">
        <w:t>2</w:t>
      </w:r>
      <w:r>
        <w:t>.</w:t>
      </w:r>
      <w:r>
        <w:tab/>
        <w:t>This act takes effect upon approval by the Governor.</w:t>
      </w:r>
    </w:p>
    <w:p w:rsidR="00583AF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83AFF" w:rsidRDefault="00583AFF" w:rsidP="00C35671">
      <w:pPr>
        <w:suppressAutoHyphens/>
      </w:pPr>
    </w:p>
    <w:sectPr w:rsidR="00583AFF" w:rsidSect="00C3567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03A" w:rsidRDefault="005C403A" w:rsidP="009F0C77">
      <w:r>
        <w:separator/>
      </w:r>
    </w:p>
  </w:endnote>
  <w:endnote w:type="continuationSeparator" w:id="0">
    <w:p w:rsidR="005C403A" w:rsidRDefault="005C40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69917F-14D3-480D-8C00-4AABB01C0CAF}"/>
    <w:embedBold r:id="rId2" w:fontKey="{45E3DEAB-90C3-4A15-B046-8D64234C54C1}"/>
  </w:font>
  <w:font w:name="Calibri">
    <w:panose1 w:val="020F0502020204030204"/>
    <w:charset w:val="00"/>
    <w:family w:val="swiss"/>
    <w:pitch w:val="variable"/>
    <w:sig w:usb0="E10002FF" w:usb1="4000ACFF" w:usb2="00000009" w:usb3="00000000" w:csb0="0000019F" w:csb1="00000000"/>
    <w:embedRegular r:id="rId3" w:fontKey="{A6BDF42D-0CA7-4615-87EF-28A3ECA5FB47}"/>
  </w:font>
  <w:font w:name="Tahoma">
    <w:panose1 w:val="020B0604030504040204"/>
    <w:charset w:val="00"/>
    <w:family w:val="swiss"/>
    <w:pitch w:val="variable"/>
    <w:sig w:usb0="21002A87" w:usb1="80000000" w:usb2="00000008" w:usb3="00000000" w:csb0="000101FF" w:csb1="00000000"/>
    <w:embedRegular r:id="rId4" w:fontKey="{99A94487-A505-48A4-BC76-5AC68B85F644}"/>
  </w:font>
  <w:font w:name="Cambria">
    <w:panose1 w:val="02040503050406030204"/>
    <w:charset w:val="00"/>
    <w:family w:val="roman"/>
    <w:pitch w:val="variable"/>
    <w:sig w:usb0="E00002FF" w:usb1="400004FF" w:usb2="00000000" w:usb3="00000000" w:csb0="0000019F" w:csb1="00000000"/>
    <w:embedRegular r:id="rId5" w:fontKey="{437B698D-513F-4D9E-8F41-983059F446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671" w:rsidRPr="00583AFF" w:rsidRDefault="00C35671" w:rsidP="00583AFF">
    <w:pPr>
      <w:pStyle w:val="Footer"/>
      <w:tabs>
        <w:tab w:val="clear" w:pos="4680"/>
        <w:tab w:val="clear" w:pos="9360"/>
        <w:tab w:val="center" w:pos="2995"/>
      </w:tabs>
      <w:spacing w:before="120"/>
    </w:pPr>
    <w:r>
      <w:t>[940]</w:t>
    </w:r>
    <w:r>
      <w:tab/>
    </w:r>
    <w:r w:rsidR="00FF1303">
      <w:fldChar w:fldCharType="begin"/>
    </w:r>
    <w:r w:rsidR="00FF1303">
      <w:instrText xml:space="preserve"> PAGE  \* MERGEFORMAT </w:instrText>
    </w:r>
    <w:r w:rsidR="00FF1303">
      <w:fldChar w:fldCharType="separate"/>
    </w:r>
    <w:r w:rsidR="00FF1303">
      <w:rPr>
        <w:noProof/>
      </w:rPr>
      <w:t>1</w:t>
    </w:r>
    <w:r w:rsidR="00FF130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03A" w:rsidRDefault="005C403A" w:rsidP="009F0C77">
      <w:r>
        <w:separator/>
      </w:r>
    </w:p>
  </w:footnote>
  <w:footnote w:type="continuationSeparator" w:id="0">
    <w:p w:rsidR="005C403A" w:rsidRDefault="005C40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0391SD10"/>
    <w:docVar w:name="CoverBillType" w:val="b"/>
    <w:docVar w:name="docpath" w:val="L:\Council\bills\GJK\20391SD10.DOCX"/>
    <w:docVar w:name="dvBillNumber" w:val="940"/>
    <w:docVar w:name="dvBillNumberPrefix" w:val="S. "/>
    <w:docVar w:name="dvOriginalBody" w:val="Senate"/>
    <w:docVar w:name="dvSteno" w:val="GJK"/>
    <w:docVar w:name="NameofBody" w:val="s"/>
    <w:docVar w:name="vgroup2" w:val="Council"/>
  </w:docVars>
  <w:rsids>
    <w:rsidRoot w:val="002F2AC3"/>
    <w:rsid w:val="00026C9A"/>
    <w:rsid w:val="00044157"/>
    <w:rsid w:val="000965A1"/>
    <w:rsid w:val="000E1785"/>
    <w:rsid w:val="000E6AD4"/>
    <w:rsid w:val="001023A4"/>
    <w:rsid w:val="0010776B"/>
    <w:rsid w:val="00133E66"/>
    <w:rsid w:val="00134ACF"/>
    <w:rsid w:val="00144E15"/>
    <w:rsid w:val="001A4A62"/>
    <w:rsid w:val="001A681E"/>
    <w:rsid w:val="001D08F2"/>
    <w:rsid w:val="002037CA"/>
    <w:rsid w:val="002047A2"/>
    <w:rsid w:val="00225FE6"/>
    <w:rsid w:val="002321B6"/>
    <w:rsid w:val="0023696B"/>
    <w:rsid w:val="00250967"/>
    <w:rsid w:val="0026017F"/>
    <w:rsid w:val="002759C5"/>
    <w:rsid w:val="00277DEE"/>
    <w:rsid w:val="00280D88"/>
    <w:rsid w:val="00294ABE"/>
    <w:rsid w:val="002A3EB4"/>
    <w:rsid w:val="002F2AC3"/>
    <w:rsid w:val="00325348"/>
    <w:rsid w:val="0037510C"/>
    <w:rsid w:val="00393688"/>
    <w:rsid w:val="003B56F8"/>
    <w:rsid w:val="003D411E"/>
    <w:rsid w:val="003E3C1E"/>
    <w:rsid w:val="003E4C26"/>
    <w:rsid w:val="003E6148"/>
    <w:rsid w:val="00400EAA"/>
    <w:rsid w:val="0041760A"/>
    <w:rsid w:val="004809EE"/>
    <w:rsid w:val="00511EE9"/>
    <w:rsid w:val="005148DE"/>
    <w:rsid w:val="00521E00"/>
    <w:rsid w:val="00577C6C"/>
    <w:rsid w:val="00583AFF"/>
    <w:rsid w:val="0058501B"/>
    <w:rsid w:val="00597F8D"/>
    <w:rsid w:val="005A70A7"/>
    <w:rsid w:val="005C403A"/>
    <w:rsid w:val="006215AA"/>
    <w:rsid w:val="006340D9"/>
    <w:rsid w:val="00643B8E"/>
    <w:rsid w:val="00665EBC"/>
    <w:rsid w:val="0069470D"/>
    <w:rsid w:val="006A476C"/>
    <w:rsid w:val="006C6A93"/>
    <w:rsid w:val="006E02F9"/>
    <w:rsid w:val="00742D0C"/>
    <w:rsid w:val="00753C04"/>
    <w:rsid w:val="00756946"/>
    <w:rsid w:val="00757F80"/>
    <w:rsid w:val="00764D8C"/>
    <w:rsid w:val="00771EEC"/>
    <w:rsid w:val="00786819"/>
    <w:rsid w:val="007A325A"/>
    <w:rsid w:val="007F1523"/>
    <w:rsid w:val="007F492F"/>
    <w:rsid w:val="007F509E"/>
    <w:rsid w:val="007F5799"/>
    <w:rsid w:val="007F6947"/>
    <w:rsid w:val="00834A0D"/>
    <w:rsid w:val="00872729"/>
    <w:rsid w:val="008F4429"/>
    <w:rsid w:val="009173AE"/>
    <w:rsid w:val="009352BB"/>
    <w:rsid w:val="00990668"/>
    <w:rsid w:val="009A7F9C"/>
    <w:rsid w:val="009B54F8"/>
    <w:rsid w:val="009F0C77"/>
    <w:rsid w:val="009F4DD1"/>
    <w:rsid w:val="00A445A5"/>
    <w:rsid w:val="00A626CE"/>
    <w:rsid w:val="00A64E80"/>
    <w:rsid w:val="00A741D9"/>
    <w:rsid w:val="00A8294E"/>
    <w:rsid w:val="00A93B2E"/>
    <w:rsid w:val="00A9741D"/>
    <w:rsid w:val="00AA64D2"/>
    <w:rsid w:val="00AB7E07"/>
    <w:rsid w:val="00AD4B17"/>
    <w:rsid w:val="00AE33E2"/>
    <w:rsid w:val="00B26FA6"/>
    <w:rsid w:val="00B741CB"/>
    <w:rsid w:val="00B934F3"/>
    <w:rsid w:val="00BB6347"/>
    <w:rsid w:val="00BD2134"/>
    <w:rsid w:val="00C038D8"/>
    <w:rsid w:val="00C045DD"/>
    <w:rsid w:val="00C3136F"/>
    <w:rsid w:val="00C3483A"/>
    <w:rsid w:val="00C35671"/>
    <w:rsid w:val="00C74E9D"/>
    <w:rsid w:val="00C82FD3"/>
    <w:rsid w:val="00CC6B7B"/>
    <w:rsid w:val="00CD3619"/>
    <w:rsid w:val="00CF4447"/>
    <w:rsid w:val="00D405E7"/>
    <w:rsid w:val="00D41D56"/>
    <w:rsid w:val="00D6260D"/>
    <w:rsid w:val="00D6662B"/>
    <w:rsid w:val="00D82AF4"/>
    <w:rsid w:val="00D95E2F"/>
    <w:rsid w:val="00D970A9"/>
    <w:rsid w:val="00DB3AC0"/>
    <w:rsid w:val="00DE68F0"/>
    <w:rsid w:val="00DF3845"/>
    <w:rsid w:val="00DF7E17"/>
    <w:rsid w:val="00E16B26"/>
    <w:rsid w:val="00E779D1"/>
    <w:rsid w:val="00EB00A2"/>
    <w:rsid w:val="00EB1BF3"/>
    <w:rsid w:val="00EF3EEE"/>
    <w:rsid w:val="00F149A7"/>
    <w:rsid w:val="00F50BAF"/>
    <w:rsid w:val="00F52C10"/>
    <w:rsid w:val="00F81FFD"/>
    <w:rsid w:val="00F85228"/>
    <w:rsid w:val="00F95700"/>
    <w:rsid w:val="00FB6773"/>
    <w:rsid w:val="00FF13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1210A08-75B8-4EB8-B2C8-6F69C589B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16B26"/>
    <w:rPr>
      <w:rFonts w:ascii="Tahoma" w:hAnsi="Tahoma" w:cs="Tahoma"/>
      <w:sz w:val="16"/>
      <w:szCs w:val="16"/>
    </w:rPr>
  </w:style>
  <w:style w:type="character" w:customStyle="1" w:styleId="BalloonTextChar">
    <w:name w:val="Balloon Text Char"/>
    <w:basedOn w:val="DefaultParagraphFont"/>
    <w:link w:val="BalloonText"/>
    <w:uiPriority w:val="99"/>
    <w:semiHidden/>
    <w:rsid w:val="00E16B26"/>
    <w:rPr>
      <w:rFonts w:ascii="Tahoma" w:eastAsia="Times New Roman" w:hAnsi="Tahoma" w:cs="Tahoma"/>
      <w:sz w:val="16"/>
      <w:szCs w:val="16"/>
    </w:rPr>
  </w:style>
  <w:style w:type="character" w:styleId="Hyperlink">
    <w:name w:val="Hyperlink"/>
    <w:basedOn w:val="DefaultParagraphFont"/>
    <w:uiPriority w:val="99"/>
    <w:unhideWhenUsed/>
    <w:rsid w:val="00C356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3" Type="http://schemas.openxmlformats.org/officeDocument/2006/relationships/settings" Target="settings.xml"/><Relationship Id="rId7" Type="http://schemas.openxmlformats.org/officeDocument/2006/relationships/hyperlink" Target="file:///h:\S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940_2009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BDC87-5A7A-4BF2-98E5-50D819E5B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412</Words>
  <Characters>2327</Characters>
  <Application>Microsoft Office Word</Application>
  <DocSecurity>0</DocSecurity>
  <Lines>85</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940: Probate court - South Carolina Legislature Online</dc:title>
  <dc:subject/>
  <dc:creator>GayleKubala</dc:creator>
  <cp:keywords/>
  <dc:description/>
  <cp:lastModifiedBy>N Cumfer</cp:lastModifiedBy>
  <cp:revision>10</cp:revision>
  <cp:lastPrinted>2009-08-25T18:09:00Z</cp:lastPrinted>
  <dcterms:created xsi:type="dcterms:W3CDTF">2009-12-09T20:07:00Z</dcterms:created>
  <dcterms:modified xsi:type="dcterms:W3CDTF">2014-11-24T15:08:00Z</dcterms:modified>
</cp:coreProperties>
</file>