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95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B62D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D43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27</w:t>
      </w:r>
      <w:r w:rsidR="003307E5">
        <w:rPr>
          <w:rFonts w:eastAsia="Times New Roman"/>
        </w:rPr>
        <w:noBreakHyphen/>
      </w:r>
      <w:r>
        <w:rPr>
          <w:rFonts w:eastAsia="Times New Roman"/>
        </w:rPr>
        <w:t>8</w:t>
      </w:r>
      <w:r w:rsidR="003307E5">
        <w:rPr>
          <w:rFonts w:eastAsia="Times New Roman"/>
        </w:rPr>
        <w:noBreakHyphen/>
      </w:r>
      <w:r>
        <w:rPr>
          <w:rFonts w:eastAsia="Times New Roman"/>
        </w:rPr>
        <w:t>80 OF THE 1976 CODE, RELATING TO CONDEMNATION OF CONSERVATION EASEMENTS, TO PROVIDE THAT THERE MUST BE NO PRUDENT AND FEASIBLE ALTERNATIVE TO CONDEMNATION IN ORDER TO PROCEED WITH CONDEMNATION, AND TO PROVIDE FOR THE PROCESS TO DETERMINE WHETHER A PRUDENT AND FEASIBLE ALTERNATIVE EXISTS.</w:t>
      </w:r>
    </w:p>
    <w:p w:rsidR="005B62DE" w:rsidRDefault="005B62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F6939" w:rsidRPr="00CC1EC5" w:rsidRDefault="00BF6939" w:rsidP="00BF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1EC5">
        <w:rPr>
          <w:color w:val="000000" w:themeColor="text1"/>
          <w:u w:color="000000" w:themeColor="text1"/>
        </w:rPr>
        <w:t>Be it enacted by the General Assembly of the State of South Carolina:</w:t>
      </w:r>
    </w:p>
    <w:p w:rsidR="00BF6939" w:rsidRPr="00CC1EC5" w:rsidRDefault="00BF6939" w:rsidP="00BF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6939" w:rsidRPr="00CC1EC5" w:rsidRDefault="00BF6939" w:rsidP="00BF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1EC5">
        <w:rPr>
          <w:color w:val="000000" w:themeColor="text1"/>
          <w:u w:color="000000" w:themeColor="text1"/>
        </w:rPr>
        <w:t>SECTION</w:t>
      </w:r>
      <w:r w:rsidRPr="00CC1EC5">
        <w:rPr>
          <w:color w:val="000000" w:themeColor="text1"/>
          <w:u w:color="000000" w:themeColor="text1"/>
        </w:rPr>
        <w:tab/>
        <w:t>1.</w:t>
      </w:r>
      <w:r w:rsidRPr="00CC1EC5">
        <w:rPr>
          <w:color w:val="000000" w:themeColor="text1"/>
          <w:u w:color="000000" w:themeColor="text1"/>
        </w:rPr>
        <w:tab/>
        <w:t>Section 27</w:t>
      </w:r>
      <w:r w:rsidR="003307E5">
        <w:rPr>
          <w:color w:val="000000" w:themeColor="text1"/>
          <w:u w:color="000000" w:themeColor="text1"/>
        </w:rPr>
        <w:noBreakHyphen/>
      </w:r>
      <w:r w:rsidRPr="00CC1EC5">
        <w:rPr>
          <w:color w:val="000000" w:themeColor="text1"/>
          <w:u w:color="000000" w:themeColor="text1"/>
        </w:rPr>
        <w:t>8</w:t>
      </w:r>
      <w:r w:rsidR="003307E5">
        <w:rPr>
          <w:color w:val="000000" w:themeColor="text1"/>
          <w:u w:color="000000" w:themeColor="text1"/>
        </w:rPr>
        <w:noBreakHyphen/>
      </w:r>
      <w:r w:rsidRPr="00CC1EC5">
        <w:rPr>
          <w:color w:val="000000" w:themeColor="text1"/>
          <w:u w:color="000000" w:themeColor="text1"/>
        </w:rPr>
        <w:t>80 of the 1976 Code is amended to read:</w:t>
      </w:r>
    </w:p>
    <w:p w:rsidR="00BF6939" w:rsidRPr="00CC1EC5" w:rsidRDefault="00BF6939" w:rsidP="00BF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1EC5">
        <w:rPr>
          <w:color w:val="000000" w:themeColor="text1"/>
          <w:u w:color="000000" w:themeColor="text1"/>
        </w:rPr>
        <w:tab/>
      </w:r>
    </w:p>
    <w:p w:rsidR="00BF6939" w:rsidRPr="00CC1EC5" w:rsidRDefault="00BF6939" w:rsidP="00BF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1EC5">
        <w:rPr>
          <w:color w:val="000000" w:themeColor="text1"/>
          <w:u w:color="000000" w:themeColor="text1"/>
        </w:rPr>
        <w:tab/>
        <w:t>“Section 27</w:t>
      </w:r>
      <w:r w:rsidR="003307E5">
        <w:rPr>
          <w:color w:val="000000" w:themeColor="text1"/>
          <w:u w:color="000000" w:themeColor="text1"/>
        </w:rPr>
        <w:noBreakHyphen/>
      </w:r>
      <w:r w:rsidRPr="00CC1EC5">
        <w:rPr>
          <w:color w:val="000000" w:themeColor="text1"/>
          <w:u w:color="000000" w:themeColor="text1"/>
        </w:rPr>
        <w:t>8</w:t>
      </w:r>
      <w:r w:rsidR="003307E5">
        <w:rPr>
          <w:color w:val="000000" w:themeColor="text1"/>
          <w:u w:color="000000" w:themeColor="text1"/>
        </w:rPr>
        <w:noBreakHyphen/>
      </w:r>
      <w:r w:rsidRPr="00CC1EC5">
        <w:rPr>
          <w:color w:val="000000" w:themeColor="text1"/>
          <w:u w:color="000000" w:themeColor="text1"/>
        </w:rPr>
        <w:t>80.</w:t>
      </w:r>
      <w:r w:rsidRPr="00CC1EC5">
        <w:rPr>
          <w:color w:val="000000" w:themeColor="text1"/>
          <w:u w:color="000000" w:themeColor="text1"/>
        </w:rPr>
        <w:tab/>
      </w:r>
      <w:r w:rsidRPr="00CC1EC5">
        <w:rPr>
          <w:color w:val="000000" w:themeColor="text1"/>
          <w:u w:val="single" w:color="000000" w:themeColor="text1"/>
        </w:rPr>
        <w:t>(A)</w:t>
      </w:r>
      <w:r w:rsidRPr="00CC1EC5">
        <w:rPr>
          <w:color w:val="000000" w:themeColor="text1"/>
          <w:u w:color="000000" w:themeColor="text1"/>
        </w:rPr>
        <w:tab/>
        <w:t xml:space="preserve">A person or entity empowered to condemn may condemn a conservation easement for other public purposes pursuant to applicable provisions of the 1976 Code or federal law. </w:t>
      </w:r>
      <w:r>
        <w:rPr>
          <w:color w:val="000000" w:themeColor="text1"/>
          <w:u w:color="000000" w:themeColor="text1"/>
        </w:rPr>
        <w:t xml:space="preserve"> </w:t>
      </w:r>
      <w:r w:rsidRPr="00CC1EC5">
        <w:rPr>
          <w:color w:val="000000" w:themeColor="text1"/>
          <w:u w:color="000000" w:themeColor="text1"/>
        </w:rPr>
        <w:t xml:space="preserve">Holders of the conservation easement must be parties to the proceedings along with the owner of the land. </w:t>
      </w:r>
    </w:p>
    <w:p w:rsidR="00BF6939" w:rsidRPr="00CC1EC5" w:rsidRDefault="00BF6939" w:rsidP="00BF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1EC5">
        <w:rPr>
          <w:color w:val="000000" w:themeColor="text1"/>
          <w:u w:color="000000" w:themeColor="text1"/>
        </w:rPr>
        <w:tab/>
      </w:r>
      <w:r w:rsidRPr="00CC1EC5">
        <w:rPr>
          <w:color w:val="000000" w:themeColor="text1"/>
          <w:u w:val="single" w:color="000000" w:themeColor="text1"/>
        </w:rPr>
        <w:t>(B)</w:t>
      </w:r>
      <w:r w:rsidRPr="00CC1EC5">
        <w:rPr>
          <w:color w:val="000000" w:themeColor="text1"/>
          <w:u w:color="000000" w:themeColor="text1"/>
        </w:rPr>
        <w:tab/>
      </w:r>
      <w:r w:rsidRPr="00CC1EC5">
        <w:rPr>
          <w:color w:val="000000" w:themeColor="text1"/>
          <w:u w:val="single" w:color="000000" w:themeColor="text1"/>
        </w:rPr>
        <w:t>Any person or entity who seeks to condemn a conservation easement must state in the c</w:t>
      </w:r>
      <w:r>
        <w:rPr>
          <w:color w:val="000000" w:themeColor="text1"/>
          <w:u w:val="single" w:color="000000" w:themeColor="text1"/>
        </w:rPr>
        <w:t>ondemnation notice required by S</w:t>
      </w:r>
      <w:r w:rsidRPr="00CC1EC5">
        <w:rPr>
          <w:color w:val="000000" w:themeColor="text1"/>
          <w:u w:val="single" w:color="000000" w:themeColor="text1"/>
        </w:rPr>
        <w:t>ection 28</w:t>
      </w:r>
      <w:r w:rsidR="003307E5">
        <w:rPr>
          <w:color w:val="000000" w:themeColor="text1"/>
          <w:u w:val="single" w:color="000000" w:themeColor="text1"/>
        </w:rPr>
        <w:noBreakHyphen/>
      </w:r>
      <w:r w:rsidRPr="00CC1EC5">
        <w:rPr>
          <w:color w:val="000000" w:themeColor="text1"/>
          <w:u w:val="single" w:color="000000" w:themeColor="text1"/>
        </w:rPr>
        <w:t>2</w:t>
      </w:r>
      <w:r w:rsidR="003307E5">
        <w:rPr>
          <w:color w:val="000000" w:themeColor="text1"/>
          <w:u w:val="single" w:color="000000" w:themeColor="text1"/>
        </w:rPr>
        <w:noBreakHyphen/>
      </w:r>
      <w:r w:rsidRPr="00CC1EC5">
        <w:rPr>
          <w:color w:val="000000" w:themeColor="text1"/>
          <w:u w:val="single" w:color="000000" w:themeColor="text1"/>
        </w:rPr>
        <w:t>280 that there is no prudent and feasible alternative to condemnation of the property encumbered by the conservation easement.</w:t>
      </w:r>
    </w:p>
    <w:p w:rsidR="00BF6939" w:rsidRPr="00CC1EC5" w:rsidRDefault="00BF6939" w:rsidP="00BF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1EC5">
        <w:rPr>
          <w:color w:val="000000" w:themeColor="text1"/>
          <w:u w:color="000000" w:themeColor="text1"/>
        </w:rPr>
        <w:tab/>
      </w:r>
      <w:r w:rsidRPr="00CC1EC5">
        <w:rPr>
          <w:color w:val="000000" w:themeColor="text1"/>
          <w:u w:val="single" w:color="000000" w:themeColor="text1"/>
        </w:rPr>
        <w:t>(C)</w:t>
      </w:r>
      <w:r w:rsidRPr="00CC1EC5">
        <w:rPr>
          <w:color w:val="000000" w:themeColor="text1"/>
          <w:u w:color="000000" w:themeColor="text1"/>
        </w:rPr>
        <w:tab/>
      </w:r>
      <w:r w:rsidRPr="00CC1EC5">
        <w:rPr>
          <w:color w:val="000000" w:themeColor="text1"/>
          <w:u w:val="single" w:color="000000" w:themeColor="text1"/>
        </w:rPr>
        <w:t xml:space="preserve">If within thirty days after receiving a condemnation notice, a holder of a conservation easement or the owner of the land rejects the amount tendered to condemn property encumbered by a conservation easement on the basis that the condemnor failed to sufficiently consider alternatives to the action or that a prudent and feasible alternative exists to the action, then the condemnor may file the condemnation notice with the clerk of court pursuant to </w:t>
      </w:r>
      <w:r w:rsidRPr="00CC1EC5">
        <w:rPr>
          <w:color w:val="000000" w:themeColor="text1"/>
          <w:u w:val="single" w:color="000000" w:themeColor="text1"/>
        </w:rPr>
        <w:lastRenderedPageBreak/>
        <w:t>Section 28</w:t>
      </w:r>
      <w:r w:rsidR="003307E5">
        <w:rPr>
          <w:color w:val="000000" w:themeColor="text1"/>
          <w:u w:val="single" w:color="000000" w:themeColor="text1"/>
        </w:rPr>
        <w:noBreakHyphen/>
      </w:r>
      <w:r w:rsidRPr="00CC1EC5">
        <w:rPr>
          <w:color w:val="000000" w:themeColor="text1"/>
          <w:u w:val="single" w:color="000000" w:themeColor="text1"/>
        </w:rPr>
        <w:t>2</w:t>
      </w:r>
      <w:r w:rsidR="003307E5">
        <w:rPr>
          <w:color w:val="000000" w:themeColor="text1"/>
          <w:u w:val="single" w:color="000000" w:themeColor="text1"/>
        </w:rPr>
        <w:noBreakHyphen/>
      </w:r>
      <w:r w:rsidRPr="00CC1EC5">
        <w:rPr>
          <w:color w:val="000000" w:themeColor="text1"/>
          <w:u w:val="single" w:color="000000" w:themeColor="text1"/>
        </w:rPr>
        <w:t>230(A).  The condemnor may not take possession of the property unless the court finds that no prudent or feasible alternative exists.</w:t>
      </w:r>
    </w:p>
    <w:p w:rsidR="00BF6939" w:rsidRPr="00CC1EC5" w:rsidRDefault="00BF6939" w:rsidP="00BF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1EC5">
        <w:rPr>
          <w:color w:val="000000" w:themeColor="text1"/>
          <w:u w:color="000000" w:themeColor="text1"/>
        </w:rPr>
        <w:tab/>
      </w:r>
      <w:r w:rsidRPr="00BF6939">
        <w:rPr>
          <w:color w:val="000000" w:themeColor="text1"/>
          <w:u w:val="single" w:color="000000" w:themeColor="text1"/>
        </w:rPr>
        <w:t>(D)</w:t>
      </w:r>
      <w:r w:rsidRPr="00CC1EC5">
        <w:rPr>
          <w:color w:val="000000" w:themeColor="text1"/>
          <w:u w:color="000000" w:themeColor="text1"/>
        </w:rPr>
        <w:tab/>
      </w:r>
      <w:r w:rsidRPr="00CC1EC5">
        <w:rPr>
          <w:color w:val="000000" w:themeColor="text1"/>
          <w:u w:val="single" w:color="000000" w:themeColor="text1"/>
        </w:rPr>
        <w:t>If the holder of a conservation easement or the owner of the land contests condemnation pursuant to this section, the case shall p</w:t>
      </w:r>
      <w:r>
        <w:rPr>
          <w:color w:val="000000" w:themeColor="text1"/>
          <w:u w:val="single" w:color="000000" w:themeColor="text1"/>
        </w:rPr>
        <w:t>roceed under the provisions of S</w:t>
      </w:r>
      <w:r w:rsidRPr="00CC1EC5">
        <w:rPr>
          <w:color w:val="000000" w:themeColor="text1"/>
          <w:u w:val="single" w:color="000000" w:themeColor="text1"/>
        </w:rPr>
        <w:t>ection 28</w:t>
      </w:r>
      <w:r w:rsidR="003307E5">
        <w:rPr>
          <w:color w:val="000000" w:themeColor="text1"/>
          <w:u w:val="single" w:color="000000" w:themeColor="text1"/>
        </w:rPr>
        <w:noBreakHyphen/>
      </w:r>
      <w:r w:rsidRPr="00CC1EC5">
        <w:rPr>
          <w:color w:val="000000" w:themeColor="text1"/>
          <w:u w:val="single" w:color="000000" w:themeColor="text1"/>
        </w:rPr>
        <w:t>2</w:t>
      </w:r>
      <w:r w:rsidR="003307E5">
        <w:rPr>
          <w:color w:val="000000" w:themeColor="text1"/>
          <w:u w:val="single" w:color="000000" w:themeColor="text1"/>
        </w:rPr>
        <w:noBreakHyphen/>
      </w:r>
      <w:r w:rsidRPr="00CC1EC5">
        <w:rPr>
          <w:color w:val="000000" w:themeColor="text1"/>
          <w:u w:val="single" w:color="000000" w:themeColor="text1"/>
        </w:rPr>
        <w:t xml:space="preserve">240. </w:t>
      </w:r>
      <w:r w:rsidRPr="00CC1EC5">
        <w:rPr>
          <w:color w:val="000000" w:themeColor="text1"/>
          <w:u w:val="single" w:color="000000" w:themeColor="text1"/>
        </w:rPr>
        <w:tab/>
      </w:r>
    </w:p>
    <w:p w:rsidR="00BF6939" w:rsidRPr="00CC1EC5" w:rsidRDefault="00BF6939" w:rsidP="00BF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6939" w:rsidRPr="00CC1EC5" w:rsidRDefault="00BF6939" w:rsidP="00BF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1EC5">
        <w:rPr>
          <w:color w:val="000000" w:themeColor="text1"/>
          <w:u w:color="000000" w:themeColor="text1"/>
        </w:rPr>
        <w:t>SECTION</w:t>
      </w:r>
      <w:r w:rsidRPr="00CC1EC5">
        <w:rPr>
          <w:color w:val="000000" w:themeColor="text1"/>
          <w:u w:color="000000" w:themeColor="text1"/>
        </w:rPr>
        <w:tab/>
        <w:t>2.</w:t>
      </w:r>
      <w:r w:rsidRPr="00CC1EC5">
        <w:rPr>
          <w:color w:val="000000" w:themeColor="text1"/>
          <w:u w:color="000000" w:themeColor="text1"/>
        </w:rPr>
        <w:tab/>
        <w:t>This act takes effect upon approval by the Governor and shall apply to condemnation litigation filed on or after that date.</w:t>
      </w:r>
    </w:p>
    <w:p w:rsidR="00C951D5" w:rsidRDefault="003307E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951D5" w:rsidRDefault="00C951D5" w:rsidP="00C951D5">
      <w:pPr>
        <w:suppressAutoHyphens/>
        <w:jc w:val="both"/>
        <w:rPr>
          <w:rFonts w:eastAsia="Times New Roman"/>
        </w:rPr>
      </w:pPr>
    </w:p>
    <w:sectPr w:rsidR="00C951D5" w:rsidSect="00C951D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5F4A" w:rsidRDefault="00535F4A" w:rsidP="00522CE0">
      <w:r>
        <w:separator/>
      </w:r>
    </w:p>
  </w:endnote>
  <w:endnote w:type="continuationSeparator" w:id="0">
    <w:p w:rsidR="00535F4A" w:rsidRDefault="00535F4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6AF1F0-3EB0-4D8C-AC8F-EC9A9928CB86}"/>
    <w:embedBold r:id="rId2" w:fontKey="{6838B176-1E92-4958-BDD5-EC6B0C57DC50}"/>
  </w:font>
  <w:font w:name="Calibri">
    <w:panose1 w:val="020F0502020204030204"/>
    <w:charset w:val="00"/>
    <w:family w:val="swiss"/>
    <w:pitch w:val="variable"/>
    <w:sig w:usb0="A00002EF" w:usb1="4000207B" w:usb2="00000000" w:usb3="00000000" w:csb0="0000009F" w:csb1="00000000"/>
    <w:embedRegular r:id="rId3" w:fontKey="{E8BD6921-7FF7-42BF-AB10-8F841DA021F7}"/>
  </w:font>
  <w:font w:name="Cambria">
    <w:panose1 w:val="02040503050406030204"/>
    <w:charset w:val="00"/>
    <w:family w:val="roman"/>
    <w:pitch w:val="variable"/>
    <w:sig w:usb0="A00002EF" w:usb1="4000004B" w:usb2="00000000" w:usb3="00000000" w:csb0="0000009F" w:csb1="00000000"/>
    <w:embedRegular r:id="rId4" w:fontKey="{2DB39FA9-A94E-4902-B035-A07DA5FED1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AD1" w:rsidRPr="00C951D5" w:rsidRDefault="00C951D5" w:rsidP="00C951D5">
    <w:pPr>
      <w:pStyle w:val="Footer"/>
      <w:tabs>
        <w:tab w:val="clear" w:pos="4680"/>
        <w:tab w:val="clear" w:pos="9360"/>
        <w:tab w:val="center" w:pos="2995"/>
      </w:tabs>
      <w:spacing w:before="120"/>
    </w:pPr>
    <w:r>
      <w:t>[1075]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5F4A" w:rsidRDefault="00535F4A" w:rsidP="00522CE0">
      <w:r>
        <w:separator/>
      </w:r>
    </w:p>
  </w:footnote>
  <w:footnote w:type="continuationSeparator" w:id="0">
    <w:p w:rsidR="00535F4A" w:rsidRDefault="00535F4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11EASE.EBD.VAS"/>
    <w:docVar w:name="CoverAttorneyInitials" w:val="EBD"/>
    <w:docVar w:name="CoverAttorneyLastName" w:val="Donaldson"/>
    <w:docVar w:name="CoverBillType" w:val="b"/>
    <w:docVar w:name="CoverSenator" w:val="VAS"/>
    <w:docVar w:name="dvBillNumber" w:val="1075"/>
    <w:docVar w:name="dvBillNumberPrefix" w:val="S. "/>
    <w:docVar w:name="dvOriginalBody" w:val="Senate"/>
    <w:docVar w:name="fulldraftpath" w:val="L:\S-RES\VAS\011EASE.EBD.VAS.DOCX"/>
    <w:docVar w:name="NameofBody" w:val="S"/>
    <w:docVar w:name="vgroup2" w:val="S-RES"/>
  </w:docVars>
  <w:rsids>
    <w:rsidRoot w:val="00276B02"/>
    <w:rsid w:val="00042AC1"/>
    <w:rsid w:val="00046516"/>
    <w:rsid w:val="0007601D"/>
    <w:rsid w:val="000B0720"/>
    <w:rsid w:val="000B5EAF"/>
    <w:rsid w:val="000F730A"/>
    <w:rsid w:val="00170561"/>
    <w:rsid w:val="00186AC9"/>
    <w:rsid w:val="00197DF1"/>
    <w:rsid w:val="001A7AD1"/>
    <w:rsid w:val="001B3DD9"/>
    <w:rsid w:val="001B7E5D"/>
    <w:rsid w:val="001D3BAC"/>
    <w:rsid w:val="00245C4E"/>
    <w:rsid w:val="00276B02"/>
    <w:rsid w:val="002B1A7E"/>
    <w:rsid w:val="002C1321"/>
    <w:rsid w:val="002C5896"/>
    <w:rsid w:val="002D3BED"/>
    <w:rsid w:val="00307C2B"/>
    <w:rsid w:val="003307E5"/>
    <w:rsid w:val="00383247"/>
    <w:rsid w:val="003A2EEA"/>
    <w:rsid w:val="003B46F5"/>
    <w:rsid w:val="003D6E2B"/>
    <w:rsid w:val="003E722C"/>
    <w:rsid w:val="003E7597"/>
    <w:rsid w:val="00450668"/>
    <w:rsid w:val="004952FA"/>
    <w:rsid w:val="004B6A22"/>
    <w:rsid w:val="004D7F37"/>
    <w:rsid w:val="00522CE0"/>
    <w:rsid w:val="00535F4A"/>
    <w:rsid w:val="00565148"/>
    <w:rsid w:val="00593361"/>
    <w:rsid w:val="005A5017"/>
    <w:rsid w:val="005A648C"/>
    <w:rsid w:val="005B62DE"/>
    <w:rsid w:val="005F1745"/>
    <w:rsid w:val="00656FDC"/>
    <w:rsid w:val="006C74EA"/>
    <w:rsid w:val="006D407C"/>
    <w:rsid w:val="00720D40"/>
    <w:rsid w:val="007318D4"/>
    <w:rsid w:val="00765784"/>
    <w:rsid w:val="007967E6"/>
    <w:rsid w:val="007A4390"/>
    <w:rsid w:val="007E5CB7"/>
    <w:rsid w:val="008314D2"/>
    <w:rsid w:val="008B2F42"/>
    <w:rsid w:val="008E185F"/>
    <w:rsid w:val="008F023B"/>
    <w:rsid w:val="00904E16"/>
    <w:rsid w:val="009162B3"/>
    <w:rsid w:val="00927C62"/>
    <w:rsid w:val="00983951"/>
    <w:rsid w:val="00984124"/>
    <w:rsid w:val="00984640"/>
    <w:rsid w:val="00995C37"/>
    <w:rsid w:val="009C118A"/>
    <w:rsid w:val="009D431D"/>
    <w:rsid w:val="00A02011"/>
    <w:rsid w:val="00A4011E"/>
    <w:rsid w:val="00A86015"/>
    <w:rsid w:val="00A9594E"/>
    <w:rsid w:val="00AE59C8"/>
    <w:rsid w:val="00B10098"/>
    <w:rsid w:val="00B5790D"/>
    <w:rsid w:val="00B945C5"/>
    <w:rsid w:val="00BA20EA"/>
    <w:rsid w:val="00BB5AFC"/>
    <w:rsid w:val="00BC0A56"/>
    <w:rsid w:val="00BE71DE"/>
    <w:rsid w:val="00BF6939"/>
    <w:rsid w:val="00C45366"/>
    <w:rsid w:val="00C57023"/>
    <w:rsid w:val="00C74052"/>
    <w:rsid w:val="00C951D5"/>
    <w:rsid w:val="00CB187A"/>
    <w:rsid w:val="00CC0EC7"/>
    <w:rsid w:val="00D1088B"/>
    <w:rsid w:val="00D156D2"/>
    <w:rsid w:val="00D86943"/>
    <w:rsid w:val="00DA47B9"/>
    <w:rsid w:val="00E058D3"/>
    <w:rsid w:val="00E76AD9"/>
    <w:rsid w:val="00E77112"/>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293</Words>
  <Characters>1671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dcterms:created xsi:type="dcterms:W3CDTF">2010-01-21T16:32:00Z</dcterms:created>
  <dcterms:modified xsi:type="dcterms:W3CDTF">2010-01-21T16:32:00Z</dcterms:modified>
</cp:coreProperties>
</file>