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26, 2009</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Pr="00B331C3" w:rsidRDefault="00B331C3" w:rsidP="00B331C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110</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Malloy</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2/26/09--S.</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B331C3" w:rsidRPr="00B331C3"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Pr="00B331C3"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EDUCATION</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110) </w:t>
      </w:r>
      <w:r w:rsidRPr="00B331C3">
        <w:rPr>
          <w:rFonts w:eastAsia="Times New Roman" w:cs="Times New Roman"/>
          <w:szCs w:val="20"/>
        </w:rPr>
        <w:t>to amend Section 59-150-210, Code of Laws of South Carolina, 1976, relating to the Education Lottery Act, to permit the sale of lottery tickets on</w:t>
      </w:r>
      <w:r>
        <w:rPr>
          <w:rFonts w:eastAsia="Times New Roman" w:cs="Times New Roman"/>
        </w:rPr>
        <w:t>, etc., respectfully</w:t>
      </w:r>
    </w:p>
    <w:p w:rsidR="00B331C3" w:rsidRPr="00B331C3"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E. COURSON for Committee.</w:t>
      </w:r>
    </w:p>
    <w:p w:rsidR="00B331C3" w:rsidRPr="00B331C3"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Pr="00B331C3"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B331C3" w:rsidRPr="000B233C"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0B233C">
        <w:rPr>
          <w:b/>
        </w:rPr>
        <w:t xml:space="preserve">REVENUE IMPACT </w:t>
      </w:r>
      <w:r w:rsidRPr="000B233C">
        <w:rPr>
          <w:b/>
          <w:vertAlign w:val="superscript"/>
        </w:rPr>
        <w:t>1/</w:t>
      </w:r>
    </w:p>
    <w:p w:rsidR="00B331C3" w:rsidRPr="000B233C" w:rsidRDefault="00B331C3" w:rsidP="00B331C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233C">
        <w:t>This bill would generate an estimated $</w:t>
      </w:r>
      <w:r w:rsidR="006E43EA">
        <w:t>816,300</w:t>
      </w:r>
      <w:r w:rsidRPr="000B233C">
        <w:t xml:space="preserve"> in additional lottery revenue to the South Carolina E</w:t>
      </w:r>
      <w:r w:rsidR="006E43EA">
        <w:t>ducation Lottery accounts in FY09</w:t>
      </w:r>
      <w:r w:rsidRPr="000B233C">
        <w:t>-</w:t>
      </w:r>
      <w:r w:rsidR="006E43EA">
        <w:t>10</w:t>
      </w:r>
      <w:r w:rsidRPr="000B233C">
        <w:t>.</w:t>
      </w:r>
    </w:p>
    <w:p w:rsidR="00B331C3" w:rsidRPr="000B233C"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0B233C">
        <w:rPr>
          <w:b/>
        </w:rPr>
        <w:t>Explanation</w:t>
      </w:r>
    </w:p>
    <w:p w:rsidR="00B331C3" w:rsidRPr="000B233C" w:rsidRDefault="00B331C3" w:rsidP="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233C">
        <w:t xml:space="preserve">This bill would allow the sale of lottery tickets on general and primary election days. There will be one primary in June FY10. Based on past lottery sales data, the average daily proceeds for the second Tuesday in each month total an estimated </w:t>
      </w:r>
      <w:r w:rsidR="006E43EA" w:rsidRPr="000B233C">
        <w:t>$</w:t>
      </w:r>
      <w:r w:rsidR="006E43EA">
        <w:t>816,300</w:t>
      </w:r>
      <w:r w:rsidRPr="000B233C">
        <w:t>.</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Default="00B331C3" w:rsidP="00B331C3">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B331C3" w:rsidRDefault="00B331C3" w:rsidP="00B331C3">
      <w:pPr>
        <w:tabs>
          <w:tab w:val="left" w:pos="3024"/>
        </w:tabs>
        <w:suppressAutoHyphens/>
        <w:rPr>
          <w:rFonts w:eastAsia="Times New Roman" w:cs="Times New Roman"/>
        </w:rPr>
      </w:pPr>
      <w:r>
        <w:rPr>
          <w:rFonts w:eastAsia="Times New Roman" w:cs="Times New Roman"/>
        </w:rPr>
        <w:tab/>
        <w:t>William C. Gillespie</w:t>
      </w:r>
    </w:p>
    <w:p w:rsidR="00B331C3" w:rsidRPr="00B331C3" w:rsidRDefault="00B331C3" w:rsidP="00B331C3">
      <w:pPr>
        <w:tabs>
          <w:tab w:val="left" w:pos="3024"/>
        </w:tabs>
        <w:suppressAutoHyphens/>
        <w:rPr>
          <w:rFonts w:eastAsia="Times New Roman" w:cs="Times New Roman"/>
        </w:rPr>
      </w:pPr>
      <w:r>
        <w:rPr>
          <w:rFonts w:eastAsia="Times New Roman" w:cs="Times New Roman"/>
        </w:rPr>
        <w:tab/>
        <w:t>Board of Economic Advisors</w:t>
      </w: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331C3" w:rsidRPr="00B331C3"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331C3" w:rsidRPr="00B331C3" w:rsidSect="00B331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59-150-210, CODE OF LAWS OF SOUTH CAROLINA, 1976, RELATING TO THE EDUCATION LOTTERY ACT, TO PERMIT THE SALE OF LOTTERY TICKETS ON GENERAL OR PRIMARY ELECTION DAYS.</w:t>
      </w: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59-150-210 of the 1976 Code is amended to read:</w:t>
      </w: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59-150-210.</w:t>
      </w:r>
      <w:r>
        <w:rPr>
          <w:rFonts w:eastAsia="Times New Roman" w:cs="Times New Roman"/>
          <w:szCs w:val="20"/>
        </w:rPr>
        <w:tab/>
        <w:t>(A)</w:t>
      </w:r>
      <w:r>
        <w:rPr>
          <w:rFonts w:eastAsia="Times New Roman" w:cs="Times New Roman"/>
          <w:szCs w:val="20"/>
        </w:rPr>
        <w:tab/>
        <w:t>A person shall not sell a lottery game ticket or share at a price other than that established by the commission. A person, other than a duly certified lottery retailer, shall not sell lottery game tickets, but a person may purchase lawfully lottery game tickets or shares and make a gift of the lottery game tickets or shares to another. The commission may designate certain agents and employees to sell lottery game tickets or shares directly to the public.</w:t>
      </w: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Lottery game tickets or shares shall not be purchased and given by merchants as a means of promoting goods or services to customers or prospective customers, except as approved in writing by the commission.</w:t>
      </w: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 lottery retailer shall not sell a lottery game ticket or share except from the locations listed in the lottery retailer’s contract and as evidenced by the lottery retailer’s certificate of authorization unless the commission authorizes, in writing, a temporary location not listed in the lottery retailer’s contract.</w:t>
      </w: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 xml:space="preserve">Lottery game tickets or shares must not be sold to persons under eighteen years of age, but a person eighteen years of age or older may purchase lawfully lottery game tickets or shares and make a gift to a person of any age. If a minor lawfully receives a </w:t>
      </w:r>
      <w:r>
        <w:rPr>
          <w:rFonts w:eastAsia="Times New Roman" w:cs="Times New Roman"/>
          <w:szCs w:val="20"/>
        </w:rPr>
        <w:lastRenderedPageBreak/>
        <w:t>winning lottery game ticket, the commission may direct payment of proceeds of a lottery prize in an amount not exceeding two thousand five hundred dollars to the parent or guardian of the minor without court approval and without appointment of a conservator. In the case of a lottery prize greater than two thousand five hundred dollars and not exceeding twenty</w:t>
      </w:r>
      <w:r>
        <w:rPr>
          <w:rFonts w:eastAsia="Times New Roman" w:cs="Times New Roman"/>
          <w:szCs w:val="20"/>
        </w:rPr>
        <w:noBreakHyphen/>
        <w:t>five thousand dollars, payment must be made in accordance with the procedures outlined in Section 62</w:t>
      </w:r>
      <w:r>
        <w:rPr>
          <w:rFonts w:eastAsia="Times New Roman" w:cs="Times New Roman"/>
          <w:szCs w:val="20"/>
        </w:rPr>
        <w:noBreakHyphen/>
        <w:t>5</w:t>
      </w:r>
      <w:r>
        <w:rPr>
          <w:rFonts w:eastAsia="Times New Roman" w:cs="Times New Roman"/>
          <w:szCs w:val="20"/>
        </w:rPr>
        <w:noBreakHyphen/>
        <w:t>103 as they relate to distribution. In the case of a prize in an amount greater than twenty</w:t>
      </w:r>
      <w:r>
        <w:rPr>
          <w:rFonts w:eastAsia="Times New Roman" w:cs="Times New Roman"/>
          <w:szCs w:val="20"/>
        </w:rPr>
        <w:noBreakHyphen/>
        <w:t>five thousand dollars, payment must be made to a duly appointed conservator to be held for the benefit of the minor, pursuant to Section 62</w:t>
      </w:r>
      <w:r>
        <w:rPr>
          <w:rFonts w:eastAsia="Times New Roman" w:cs="Times New Roman"/>
          <w:szCs w:val="20"/>
        </w:rPr>
        <w:noBreakHyphen/>
        <w:t>5</w:t>
      </w:r>
      <w:r>
        <w:rPr>
          <w:rFonts w:eastAsia="Times New Roman" w:cs="Times New Roman"/>
          <w:szCs w:val="20"/>
        </w:rPr>
        <w:noBreakHyphen/>
        <w:t>433.</w:t>
      </w: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A lottery ticket or share must not be sold on the date of any general or primary election; for a lottery game other than that defined in Section 59</w:t>
      </w:r>
      <w:r>
        <w:rPr>
          <w:rFonts w:eastAsia="Times New Roman" w:cs="Times New Roman"/>
          <w:strike/>
          <w:szCs w:val="20"/>
        </w:rPr>
        <w:noBreakHyphen/>
        <w:t>150</w:t>
      </w:r>
      <w:r>
        <w:rPr>
          <w:rFonts w:eastAsia="Times New Roman" w:cs="Times New Roman"/>
          <w:strike/>
          <w:szCs w:val="20"/>
        </w:rPr>
        <w:noBreakHyphen/>
        <w:t>20(7); or for a lottery game with corporate sponsorship.</w:t>
      </w: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trike/>
          <w:szCs w:val="20"/>
        </w:rPr>
        <w:t>(F)</w:t>
      </w:r>
      <w:r>
        <w:rPr>
          <w:rFonts w:eastAsia="Times New Roman" w:cs="Times New Roman"/>
          <w:szCs w:val="20"/>
        </w:rPr>
        <w:t>(E)</w:t>
      </w:r>
      <w:r>
        <w:rPr>
          <w:rFonts w:eastAsia="Times New Roman" w:cs="Times New Roman"/>
          <w:szCs w:val="20"/>
        </w:rPr>
        <w:tab/>
        <w:t>A lottery ticket or share must not be sold on the campus of a public institution of higher learning as defined in Section 59</w:t>
      </w:r>
      <w:r>
        <w:rPr>
          <w:rFonts w:eastAsia="Times New Roman" w:cs="Times New Roman"/>
          <w:szCs w:val="20"/>
        </w:rPr>
        <w:noBreakHyphen/>
        <w:t>103</w:t>
      </w:r>
      <w:r>
        <w:rPr>
          <w:rFonts w:eastAsia="Times New Roman" w:cs="Times New Roman"/>
          <w:szCs w:val="20"/>
        </w:rPr>
        <w:noBreakHyphen/>
        <w:t>5.”</w:t>
      </w:r>
    </w:p>
    <w:p w:rsidR="00246104" w:rsidRDefault="002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6104" w:rsidRDefault="00B3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246104" w:rsidRDefault="00B331C3" w:rsidP="0077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46104" w:rsidSect="00B331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104" w:rsidRDefault="00246104" w:rsidP="00246104">
      <w:r>
        <w:separator/>
      </w:r>
    </w:p>
  </w:endnote>
  <w:endnote w:type="continuationSeparator" w:id="1">
    <w:p w:rsidR="00246104" w:rsidRDefault="00246104" w:rsidP="002461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3819EF-ED09-447C-93FD-DDBE48501923}"/>
    <w:embedBold r:id="rId2" w:fontKey="{9DEAD037-705E-4997-B32C-B6F61E8E2002}"/>
    <w:embedItalic r:id="rId3" w:fontKey="{DB5FE416-0061-48A8-9798-CF274096D3DD}"/>
  </w:font>
  <w:font w:name="Calibri">
    <w:panose1 w:val="020F0502020204030204"/>
    <w:charset w:val="00"/>
    <w:family w:val="swiss"/>
    <w:pitch w:val="variable"/>
    <w:sig w:usb0="A00002EF" w:usb1="4000207B" w:usb2="00000000" w:usb3="00000000" w:csb0="0000009F" w:csb1="00000000"/>
    <w:embedRegular r:id="rId4" w:fontKey="{87EE832F-E651-44CD-8B6E-CCCB8EC181F7}"/>
    <w:embedBold r:id="rId5" w:fontKey="{D39F389A-87ED-4D59-9AB8-6BA8A3083823}"/>
  </w:font>
  <w:font w:name="Tahoma">
    <w:panose1 w:val="020B0604030504040204"/>
    <w:charset w:val="00"/>
    <w:family w:val="swiss"/>
    <w:pitch w:val="variable"/>
    <w:sig w:usb0="61002A87" w:usb1="80000000" w:usb2="00000008" w:usb3="00000000" w:csb0="000101FF" w:csb1="00000000"/>
    <w:embedRegular r:id="rId6" w:fontKey="{A68EEE0A-5096-4FE4-8DCB-CA126200B95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BB13676B-B256-473D-9D26-195D8A3A7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04" w:rsidRDefault="00B331C3">
    <w:pPr>
      <w:pStyle w:val="Footer"/>
      <w:tabs>
        <w:tab w:val="clear" w:pos="4680"/>
        <w:tab w:val="clear" w:pos="9360"/>
        <w:tab w:val="center" w:pos="2995"/>
      </w:tabs>
      <w:spacing w:before="120"/>
    </w:pPr>
    <w:r>
      <w:t>[110-</w:t>
    </w:r>
    <w:fldSimple w:instr=" PAGE  \* MERGEFORMAT ">
      <w:r w:rsidR="007715E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C3" w:rsidRDefault="00B331C3">
    <w:pPr>
      <w:pStyle w:val="Footer"/>
      <w:tabs>
        <w:tab w:val="clear" w:pos="4680"/>
        <w:tab w:val="clear" w:pos="9360"/>
        <w:tab w:val="center" w:pos="2995"/>
      </w:tabs>
      <w:spacing w:before="120"/>
    </w:pPr>
    <w:r>
      <w:t>[110]</w:t>
    </w:r>
    <w:r>
      <w:tab/>
    </w:r>
    <w:fldSimple w:instr=" PAGE  \* MERGEFORMAT ">
      <w:r w:rsidR="007715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104" w:rsidRDefault="00246104" w:rsidP="00246104">
      <w:r>
        <w:separator/>
      </w:r>
    </w:p>
  </w:footnote>
  <w:footnote w:type="continuationSeparator" w:id="1">
    <w:p w:rsidR="00246104" w:rsidRDefault="00246104" w:rsidP="002461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46104"/>
    <w:rsid w:val="00246104"/>
    <w:rsid w:val="003F0C6E"/>
    <w:rsid w:val="006E43EA"/>
    <w:rsid w:val="007715EE"/>
    <w:rsid w:val="00B331C3"/>
    <w:rsid w:val="00F123AA"/>
    <w:rsid w:val="00F16B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461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6104"/>
    <w:rPr>
      <w:szCs w:val="21"/>
    </w:rPr>
  </w:style>
  <w:style w:type="character" w:customStyle="1" w:styleId="PlainTextChar">
    <w:name w:val="Plain Text Char"/>
    <w:basedOn w:val="DefaultParagraphFont"/>
    <w:link w:val="PlainText"/>
    <w:uiPriority w:val="99"/>
    <w:rsid w:val="00246104"/>
    <w:rPr>
      <w:szCs w:val="21"/>
    </w:rPr>
  </w:style>
  <w:style w:type="paragraph" w:styleId="BodyText">
    <w:name w:val="Body Text"/>
    <w:basedOn w:val="Normal"/>
    <w:link w:val="BodyTextChar"/>
    <w:uiPriority w:val="99"/>
    <w:locked/>
    <w:rsid w:val="00246104"/>
  </w:style>
  <w:style w:type="character" w:customStyle="1" w:styleId="BodyTextChar">
    <w:name w:val="Body Text Char"/>
    <w:basedOn w:val="DefaultParagraphFont"/>
    <w:link w:val="BodyText"/>
    <w:uiPriority w:val="99"/>
    <w:rsid w:val="00246104"/>
  </w:style>
  <w:style w:type="paragraph" w:styleId="BalloonText">
    <w:name w:val="Balloon Text"/>
    <w:next w:val="Normal"/>
    <w:link w:val="BalloonTextChar"/>
    <w:uiPriority w:val="99"/>
    <w:unhideWhenUsed/>
    <w:rsid w:val="00246104"/>
    <w:rPr>
      <w:rFonts w:cs="Tahoma"/>
      <w:szCs w:val="16"/>
    </w:rPr>
  </w:style>
  <w:style w:type="character" w:customStyle="1" w:styleId="BalloonTextChar">
    <w:name w:val="Balloon Text Char"/>
    <w:basedOn w:val="DefaultParagraphFont"/>
    <w:link w:val="BalloonText"/>
    <w:uiPriority w:val="99"/>
    <w:rsid w:val="00246104"/>
    <w:rPr>
      <w:rFonts w:cs="Tahoma"/>
      <w:szCs w:val="16"/>
    </w:rPr>
  </w:style>
  <w:style w:type="paragraph" w:styleId="NormalWeb">
    <w:name w:val="Normal (Web)"/>
    <w:basedOn w:val="Normal"/>
    <w:next w:val="Normal"/>
    <w:semiHidden/>
    <w:locked/>
    <w:rsid w:val="0024610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4610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46104"/>
    <w:rPr>
      <w:rFonts w:cs="Times New Roman"/>
    </w:rPr>
  </w:style>
  <w:style w:type="character" w:styleId="LineNumber">
    <w:name w:val="line number"/>
    <w:basedOn w:val="DefaultParagraphFont"/>
    <w:uiPriority w:val="99"/>
    <w:semiHidden/>
    <w:unhideWhenUsed/>
    <w:locked/>
    <w:rsid w:val="00B331C3"/>
  </w:style>
  <w:style w:type="paragraph" w:styleId="Header">
    <w:name w:val="header"/>
    <w:basedOn w:val="Normal"/>
    <w:link w:val="HeaderChar"/>
    <w:unhideWhenUsed/>
    <w:locked/>
    <w:rsid w:val="00B331C3"/>
    <w:pPr>
      <w:tabs>
        <w:tab w:val="center" w:pos="4680"/>
        <w:tab w:val="right" w:pos="9360"/>
      </w:tabs>
    </w:pPr>
  </w:style>
  <w:style w:type="character" w:customStyle="1" w:styleId="HeaderChar">
    <w:name w:val="Header Char"/>
    <w:basedOn w:val="DefaultParagraphFont"/>
    <w:link w:val="Header"/>
    <w:rsid w:val="00B331C3"/>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3386</Characters>
  <Application>Microsoft Office Word</Application>
  <DocSecurity>0</DocSecurity>
  <Lines>109</Lines>
  <Paragraphs>38</Paragraphs>
  <ScaleCrop>false</ScaleCrop>
  <Company>Project Management</Company>
  <LinksUpToDate>false</LinksUpToDate>
  <CharactersWithSpaces>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2009-02-26T23:41:00Z</dcterms:created>
  <dcterms:modified xsi:type="dcterms:W3CDTF">2009-02-26T23:41:00Z</dcterms:modified>
</cp:coreProperties>
</file>