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39 OF TITLE 34 OF THE 1976 CODE, RELATING TO DEFERRED PRESENTMENT SERVICES, BY ADDING SECTION 34</w:t>
      </w:r>
      <w:r>
        <w:rPr>
          <w:rFonts w:eastAsia="Times New Roman" w:cs="Times New Roman"/>
        </w:rPr>
        <w:noBreakHyphen/>
        <w:t>39</w:t>
      </w:r>
      <w:r>
        <w:rPr>
          <w:rFonts w:eastAsia="Times New Roman" w:cs="Times New Roman"/>
        </w:rPr>
        <w:noBreakHyphen/>
        <w:t>175 TO PROVIDE THAT THE CONSUMER FINANCE DIVISION OF THE BOARD OF FINANCIAL INSTITUTIONS MUST IMPLEMENT A DEFERRED PRESENTMENT LOAN TRACKING DATABASE AND TO PROVIDE FOR INFORMATION REQUIRED IN THE DATABASE; TO ADD SECTION 34</w:t>
      </w:r>
      <w:r>
        <w:rPr>
          <w:rFonts w:eastAsia="Times New Roman" w:cs="Times New Roman"/>
        </w:rPr>
        <w:noBreakHyphen/>
        <w:t>39</w:t>
      </w:r>
      <w:r>
        <w:rPr>
          <w:rFonts w:eastAsia="Times New Roman" w:cs="Times New Roman"/>
        </w:rPr>
        <w:noBreakHyphen/>
        <w:t>270 TO LIMIT CONSUMERS TO ONE DEFERRED PRESENTMENT LOAN AT A TIME, TO PROVIDE FOR A SEVEN DAY WAITING PERIOD BETWEEN LOANS, TO REQUIRE DEFERRED PRESENTMENT PROVIDERS TO VERIFY A CONSUMERS ELIGIBILITY FOR A LOAN PRIOR TO ENTERING A DEFERRED PRESENTMENT TRANSACTION, AND TO PROVIDE FOR THE PROCESS TO DETERMINE ELIGIBILITY; TO ADD SECTION 34</w:t>
      </w:r>
      <w:r>
        <w:rPr>
          <w:rFonts w:eastAsia="Times New Roman" w:cs="Times New Roman"/>
        </w:rPr>
        <w:noBreakHyphen/>
        <w:t>39</w:t>
      </w:r>
      <w:r>
        <w:rPr>
          <w:rFonts w:eastAsia="Times New Roman" w:cs="Times New Roman"/>
        </w:rPr>
        <w:noBreakHyphen/>
        <w:t>280 TO PROVIDE THAT UNDER CERTAIN CIRCUMSTANCES A CONSUMER MAY UTILIZE A PAYMENT PLAN TO SATISFY AN OUTSTANDING LOAN, TO PROVIDE FOR THE CIRCUMSTANCES UNDER WHICH A PAYMENT PLAN MAY BE USED, AND THE REQUIREMENTS FOR A PAYMENT PLAN; TO ADD SECTION 34</w:t>
      </w:r>
      <w:r>
        <w:rPr>
          <w:rFonts w:eastAsia="Times New Roman" w:cs="Times New Roman"/>
        </w:rPr>
        <w:noBreakHyphen/>
        <w:t>39</w:t>
      </w:r>
      <w:r>
        <w:rPr>
          <w:rFonts w:eastAsia="Times New Roman" w:cs="Times New Roman"/>
        </w:rPr>
        <w:noBreakHyphen/>
        <w:t>290 TO PROVIDE THAT THE BOARD MUST MAKE ANNUAL REPORTS AND TO PROVIDE FOR THE CONTENTS OF THOSE REPORTS; TO AMEND SECTION 34</w:t>
      </w:r>
      <w:r>
        <w:rPr>
          <w:rFonts w:eastAsia="Times New Roman" w:cs="Times New Roman"/>
        </w:rPr>
        <w:noBreakHyphen/>
        <w:t>39</w:t>
      </w:r>
      <w:r>
        <w:rPr>
          <w:rFonts w:eastAsia="Times New Roman" w:cs="Times New Roman"/>
        </w:rPr>
        <w:noBreakHyphen/>
        <w:t>130 TO PROVIDE FOR THE APPLICABILITY OF CHAPTER 39 OF TITLE 34; TO AMEND SECTION 34</w:t>
      </w:r>
      <w:r>
        <w:rPr>
          <w:rFonts w:eastAsia="Times New Roman" w:cs="Times New Roman"/>
        </w:rPr>
        <w:noBreakHyphen/>
        <w:t>39</w:t>
      </w:r>
      <w:r>
        <w:rPr>
          <w:rFonts w:eastAsia="Times New Roman" w:cs="Times New Roman"/>
        </w:rPr>
        <w:noBreakHyphen/>
        <w:t>150 TO PROVIDE THAT THE APPLICATION FEE FOR NEW LICENSES AND LICENSE RENEWAL FEES ARE INCREASED FROM TWO HUNDRED FIFTY DOLLARS TO FIVE HUNDRED DOLLARS; TO AMEND SECTION 34</w:t>
      </w:r>
      <w:r>
        <w:rPr>
          <w:rFonts w:eastAsia="Times New Roman" w:cs="Times New Roman"/>
        </w:rPr>
        <w:noBreakHyphen/>
        <w:t>39</w:t>
      </w:r>
      <w:r>
        <w:rPr>
          <w:rFonts w:eastAsia="Times New Roman" w:cs="Times New Roman"/>
        </w:rPr>
        <w:noBreakHyphen/>
        <w:t>180 TO PROVIDE FOR A MAXIMUM LOAN AMOUNT BASED UPON THE CONSUMER’S GROSS INCOME OR FIVE HUNDRED DOLLARS, TO PROVIDE FOR CONSUMER WARNING STATEMENTS, TO PROVIDE THAT DEFERRED PRESENTMENT PROVIDERS MAY NOT ENTER INTO A LOAN WITH A CONSUMER SATISFYING ANOTHER LOAN PURSUANT TO AN EXTENDED PAYMENT PLAN, AND TO PROVIDE THAT THE BOARD MUST DEVELOP A FORM TO BE USED BY DEFERRED PRESENTMENT PROVIDERS TO CALCULATE THE MAXIMUM AMOUNT THAT MAY BE LENT TO A CONSUMER; TO AMEND SECTION 34</w:t>
      </w:r>
      <w:r>
        <w:rPr>
          <w:rFonts w:eastAsia="Times New Roman" w:cs="Times New Roman"/>
        </w:rPr>
        <w:noBreakHyphen/>
        <w:t>39</w:t>
      </w:r>
      <w:r>
        <w:rPr>
          <w:rFonts w:eastAsia="Times New Roman" w:cs="Times New Roman"/>
        </w:rPr>
        <w:noBreakHyphen/>
        <w:t>200 TO PROVIDE ADDITIONAL LIMITATIONS ON THE ACTIVITIES OF LICENSED DEFERRED PRESENTMENT PROVIDERS; TO AMEND CHAPTER 39 OF TITLE 34 BY ADDING SECTION 39</w:t>
      </w:r>
      <w:r>
        <w:rPr>
          <w:rFonts w:eastAsia="Times New Roman" w:cs="Times New Roman"/>
        </w:rPr>
        <w:noBreakHyphen/>
        <w:t>34</w:t>
      </w:r>
      <w:r>
        <w:rPr>
          <w:rFonts w:eastAsia="Times New Roman" w:cs="Times New Roman"/>
        </w:rPr>
        <w:noBreakHyphen/>
        <w:t>205 TO PLACE ON</w:t>
      </w:r>
      <w:r>
        <w:rPr>
          <w:rFonts w:eastAsia="Times New Roman" w:cs="Times New Roman"/>
        </w:rPr>
        <w:noBreakHyphen/>
        <w:t>PREMISES ADVERTISING LIMITATIONS; AND TO AMEND SECTION 34</w:t>
      </w:r>
      <w:r>
        <w:rPr>
          <w:rFonts w:eastAsia="Times New Roman" w:cs="Times New Roman"/>
        </w:rPr>
        <w:noBreakHyphen/>
        <w:t>39</w:t>
      </w:r>
      <w:r>
        <w:rPr>
          <w:rFonts w:eastAsia="Times New Roman" w:cs="Times New Roman"/>
        </w:rPr>
        <w:noBreakHyphen/>
        <w:t>170 TO PROVIDE THAT CONSUMERS AND DEFERRED PRESENTMENT PROVIDERS MAY NOT ENTER INTO AGREEMENTS THAT ALLOW FOR AUTOMATIC DEBITED LOAN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of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eastAsia="MS Mincho" w:cs="Times New Roman"/>
          <w:szCs w:val="20"/>
        </w:rPr>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who has an outstanding deferred presentment transaction with any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who has entered into an extended payment plan agreement as provided in Section 34</w:t>
      </w:r>
      <w:r>
        <w:rPr>
          <w:rFonts w:eastAsia="MS Mincho" w:cs="Times New Roman"/>
          <w:szCs w:val="20"/>
        </w:rPr>
        <w:noBreakHyphen/>
        <w:t>39</w:t>
      </w:r>
      <w:r>
        <w:rPr>
          <w:rFonts w:eastAsia="MS Mincho" w:cs="Times New Roman"/>
          <w:szCs w:val="20"/>
        </w:rPr>
        <w:noBreakHyphen/>
        <w:t>280 which has not been paid in full or terminated;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sooner than the seventh day after the date upon which the person last closed out a deferred presentment transaction with any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r>
      <w:r>
        <w:rPr>
          <w:rFonts w:eastAsia="MS Mincho" w:cs="Times New Roman"/>
          <w:szCs w:val="20"/>
        </w:rPr>
        <w:tab/>
        <w:t>(A)</w:t>
      </w:r>
      <w:r>
        <w:rPr>
          <w:rFonts w:eastAsia="MS Mincho" w:cs="Times New Roman"/>
          <w:szCs w:val="20"/>
        </w:rPr>
        <w:tab/>
        <w:t xml:space="preserve">Subject to the terms and conditions contained in this section, a customer may pay any outstanding deferred presentment transaction by means of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licensee must enter into a written plan agreement with the customer if the customer, on or before the deferred presentment transaction’s due date, requests a plan and signs an amendment to the written agreement that memorializes the plan’s terms and must enter the information into the database established in Section 34</w:t>
      </w:r>
      <w:r>
        <w:rPr>
          <w:rFonts w:eastAsia="MS Mincho" w:cs="Times New Roman"/>
          <w:szCs w:val="20"/>
        </w:rPr>
        <w:noBreakHyphen/>
        <w:t>29</w:t>
      </w:r>
      <w:r>
        <w:rPr>
          <w:rFonts w:eastAsia="MS Mincho" w:cs="Times New Roman"/>
          <w:szCs w:val="20"/>
        </w:rPr>
        <w:noBreakHyphen/>
        <w:t xml:space="preserve">175 that the customer has an extended payment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any plan installment when due, the plan is terminated and the licensee immediately may accelerate and collect the unpaid transaction balance.  The licensee may, with each payment under the plan by a customer, provide for the return of the customer’s prior held check and require a new check for the remaining balance under the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you must, on or before the date this contract is due,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290.</w:t>
      </w:r>
      <w:r>
        <w:rPr>
          <w:rFonts w:eastAsia="MS Mincho" w:cs="Times New Roman"/>
          <w:szCs w:val="20"/>
        </w:rPr>
        <w:tab/>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is amended by adding at the 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 dollars</w:t>
      </w:r>
      <w:r>
        <w:rPr>
          <w:rFonts w:eastAsia="MS Mincho" w:cs="Times New Roman"/>
          <w:szCs w:val="20"/>
        </w:rPr>
        <w:t xml:space="preserve"> </w:t>
      </w:r>
      <w:r>
        <w:rPr>
          <w:rFonts w:eastAsia="MS Mincho" w:cs="Times New Roman"/>
          <w:szCs w:val="20"/>
          <w:u w:val="single"/>
        </w:rPr>
        <w:t xml:space="preserve">five hundred dollars </w:t>
      </w:r>
      <w:r>
        <w:rPr>
          <w:rFonts w:eastAsia="MS Mincho" w:cs="Times New Roman"/>
          <w:szCs w:val="20"/>
        </w:rPr>
        <w:t xml:space="preserve">and an investigation fee of five hundred dollars. These fees are not refundable or abatable. If the license is granted, however, payment of the application fee satisfies the fee requirement for the first license year or its remainder.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Times New Roman" w:cs="Times New Roman"/>
          <w:szCs w:val="20"/>
        </w:rPr>
        <w:t>(D)</w:t>
      </w:r>
      <w:r>
        <w:rPr>
          <w:rFonts w:eastAsia="Times New Roman" w:cs="Times New Roman"/>
          <w:szCs w:val="20"/>
        </w:rPr>
        <w:tab/>
      </w:r>
      <w:r>
        <w:rPr>
          <w:rFonts w:eastAsia="MS Mincho" w:cs="Times New Roman"/>
          <w:szCs w:val="20"/>
        </w:rPr>
        <w:t>A license expires annually and may be renewed upon payment of a license fee of</w:t>
      </w:r>
      <w:r>
        <w:rPr>
          <w:rFonts w:eastAsia="MS Mincho" w:cs="Times New Roman"/>
          <w:strike/>
          <w:szCs w:val="20"/>
        </w:rPr>
        <w:t xml:space="preserve"> two hundred fifty dollars</w:t>
      </w:r>
      <w:r>
        <w:rPr>
          <w:rFonts w:eastAsia="MS Mincho" w:cs="Times New Roman"/>
          <w:szCs w:val="20"/>
        </w:rPr>
        <w:t xml:space="preserve"> </w:t>
      </w:r>
      <w:r>
        <w:rPr>
          <w:rFonts w:eastAsia="MS Mincho" w:cs="Times New Roman"/>
          <w:szCs w:val="20"/>
          <w:u w:val="single"/>
        </w:rPr>
        <w:t>five hundred dollars</w:t>
      </w:r>
      <w:r>
        <w:rPr>
          <w:rFonts w:eastAsia="MS Mincho" w:cs="Times New Roman"/>
          <w:szCs w:val="20"/>
        </w:rPr>
        <w:t xml:space="preserve">.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 xml:space="preserve">five hundred </w:t>
      </w:r>
      <w:r>
        <w:rPr>
          <w:rFonts w:eastAsia="MS Mincho" w:cs="Times New Roman"/>
          <w:szCs w:val="20"/>
        </w:rPr>
        <w:t xml:space="preserve">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All license fees collected must be remitted to the general fund.</w:t>
      </w:r>
      <w:r>
        <w:rPr>
          <w:rFonts w:eastAsia="MS Mincho" w:cs="Times New Roman"/>
          <w:szCs w:val="20"/>
        </w:rPr>
        <w:t>”</w:t>
      </w:r>
      <w:r>
        <w:rPr>
          <w:rFonts w:eastAsia="MS Mincho"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t>(A)</w:t>
      </w:r>
      <w:r>
        <w:rPr>
          <w:rFonts w:eastAsia="MS Mincho" w:cs="Times New Roman"/>
          <w:szCs w:val="20"/>
        </w:rPr>
        <w:tab/>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 for up to thirty</w:t>
      </w:r>
      <w:r>
        <w:rPr>
          <w:rFonts w:eastAsia="MS Mincho" w:cs="Times New Roman"/>
          <w:strike/>
          <w:szCs w:val="20"/>
        </w:rPr>
        <w:noBreakHyphen/>
        <w:t>one days pursuant to the provisions of this section.</w:t>
      </w:r>
      <w:r>
        <w:rPr>
          <w:rFonts w:eastAsia="MS Mincho" w:cs="Times New Roman"/>
          <w:szCs w:val="20"/>
        </w:rPr>
        <w:t xml:space="preserve">  </w:t>
      </w:r>
      <w:r>
        <w:rPr>
          <w:rFonts w:eastAsia="MS Mincho" w:cs="Times New Roman"/>
          <w:szCs w:val="20"/>
          <w:u w:val="single"/>
        </w:rPr>
        <w:t>The total amount advanced by all licensees to any customer for deferred presentment or deposit may not exceed the lesser of twenty</w:t>
      </w:r>
      <w:r>
        <w:rPr>
          <w:rFonts w:eastAsia="MS Mincho" w:cs="Times New Roman"/>
          <w:szCs w:val="20"/>
          <w:u w:val="single"/>
        </w:rPr>
        <w:noBreakHyphen/>
        <w:t>five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180(E).  A licensee may not advance to a customer an amount for deferred presentment or deposit which causes this limit to be exceeded by that customer.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r>
        <w:rPr>
          <w:rFonts w:eastAsia="MS Mincho" w:cs="Times New Roman"/>
          <w:szCs w:val="20"/>
          <w:u w:val="single"/>
        </w:rPr>
        <w:t>A licensee shall not enter into a deferred presentment agreement with a customer who has entered into an extended payment plan agreement with any licensee as provided in Section 34</w:t>
      </w:r>
      <w:r>
        <w:rPr>
          <w:rFonts w:eastAsia="MS Mincho" w:cs="Times New Roman"/>
          <w:szCs w:val="20"/>
          <w:u w:val="single"/>
        </w:rPr>
        <w:noBreakHyphen/>
        <w:t>39</w:t>
      </w:r>
      <w:r>
        <w:rPr>
          <w:rFonts w:eastAsia="MS Mincho" w:cs="Times New Roman"/>
          <w:szCs w:val="20"/>
          <w:u w:val="single"/>
        </w:rPr>
        <w:noBreakHyphen/>
        <w:t>280.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Times New Roman" w:cs="Times New Roman"/>
          <w:szCs w:val="20"/>
        </w:rPr>
        <w:t>(G)</w:t>
      </w:r>
      <w:r>
        <w:rPr>
          <w:rFonts w:eastAsia="Times New Roman"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Times New Roman" w:cs="Times New Roman"/>
          <w:szCs w:val="20"/>
        </w:rPr>
        <w:noBreakHyphen/>
        <w:t>11</w:t>
      </w:r>
      <w:r>
        <w:rPr>
          <w:rFonts w:eastAsia="Times New Roman" w:cs="Times New Roman"/>
          <w:szCs w:val="20"/>
        </w:rP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wire transfer or money transmitter</w:t>
      </w:r>
      <w:r>
        <w:rPr>
          <w:rFonts w:eastAsia="MS Mincho" w:cs="Times New Roman"/>
          <w:szCs w:val="20"/>
        </w:rPr>
        <w:t xml:space="preserve"> 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7.</w:t>
      </w:r>
      <w:r>
        <w:rPr>
          <w:rFonts w:eastAsia="MS Mincho" w:cs="Times New Roman"/>
          <w:szCs w:val="20"/>
        </w:rPr>
        <w:tab/>
        <w:t>Chapter 39, Title 34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205.</w:t>
      </w:r>
      <w:r>
        <w:rPr>
          <w:rFonts w:eastAsia="MS Mincho" w:cs="Times New Roman"/>
          <w:szCs w:val="20"/>
        </w:rPr>
        <w:tab/>
        <w:t>On</w:t>
      </w:r>
      <w:r>
        <w:rPr>
          <w:rFonts w:eastAsia="MS Mincho" w:cs="Times New Roman"/>
          <w:szCs w:val="20"/>
        </w:rPr>
        <w:noBreakHyphen/>
        <w:t>premises advertising by a licensee may not contain false, misleading, or deceptive statements or representations.  The board must promulgate regulations necessary to administer and enforce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8.</w:t>
      </w:r>
      <w:r>
        <w:rPr>
          <w:rFonts w:eastAsia="Times New Roman" w:cs="Times New Roman"/>
          <w:szCs w:val="20"/>
        </w:rPr>
        <w:tab/>
        <w:t>Section 34</w:t>
      </w:r>
      <w:r>
        <w:rPr>
          <w:rFonts w:eastAsia="Times New Roman" w:cs="Times New Roman"/>
          <w:szCs w:val="20"/>
        </w:rPr>
        <w:noBreakHyphen/>
        <w:t>39</w:t>
      </w:r>
      <w:r>
        <w:rPr>
          <w:rFonts w:eastAsia="Times New Roman" w:cs="Times New Roman"/>
          <w:szCs w:val="20"/>
        </w:rPr>
        <w:noBreakHyphen/>
        <w:t>170 of the 1976 Code is amended by adding an appropriately numbered new item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A licensee and a customer may not enter into an automatic debit loan payment agreement to satisfy any portion of a deferred presentment loan.”</w:t>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r>
      <w:r>
        <w:rPr>
          <w:rFonts w:eastAsia="MS Mincho" w:cs="Times New Roman"/>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10.</w:t>
      </w:r>
      <w:r>
        <w:rPr>
          <w:rFonts w:eastAsia="MS Mincho"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8360B-EEB5-4E2F-8644-B774FFD2C3BA}"/>
    <w:embedBold r:id="rId2" w:fontKey="{AF470A00-FD8C-41A6-B38B-FDC02F072F10}"/>
  </w:font>
  <w:font w:name="Calibri">
    <w:panose1 w:val="020F0502020204030204"/>
    <w:charset w:val="00"/>
    <w:family w:val="swiss"/>
    <w:pitch w:val="variable"/>
    <w:sig w:usb0="A00002EF" w:usb1="4000207B" w:usb2="00000000" w:usb3="00000000" w:csb0="0000009F" w:csb1="00000000"/>
    <w:embedRegular r:id="rId3" w:fontKey="{6126A40C-0D27-46F0-B522-8D7BBBB5A375}"/>
  </w:font>
  <w:font w:name="Tahoma">
    <w:panose1 w:val="020B0604030504040204"/>
    <w:charset w:val="00"/>
    <w:family w:val="swiss"/>
    <w:pitch w:val="variable"/>
    <w:sig w:usb0="61002A87" w:usb1="80000000" w:usb2="00000008" w:usb3="00000000" w:csb0="000101FF" w:csb1="00000000"/>
    <w:embedRegular r:id="rId4" w:fontKey="{DC704917-3F25-48C9-A6F3-26B8D281800A}"/>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FB48499-9686-4786-B96D-0F8806855D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[113]</w:t>
    </w:r>
    <w:r>
      <w:tab/>
    </w:r>
    <w:fldSimple w:instr=" PAGE  \* MERGEFORMAT ">
      <w:r>
        <w:rPr>
          <w:noProof/>
        </w:rPr>
        <w:t>10</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3460</Words>
  <Characters>19728</Characters>
  <Application>Microsoft Office Word</Application>
  <DocSecurity>0</DocSecurity>
  <Lines>164</Lines>
  <Paragraphs>46</Paragraphs>
  <ScaleCrop>false</ScaleCrop>
  <Company>Project Management</Company>
  <LinksUpToDate>false</LinksUpToDate>
  <CharactersWithSpaces>23142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2008-12-10T20:29:00Z</dcterms:created>
  <dcterms:modified xsi:type="dcterms:W3CDTF">2008-12-10T20:29:00Z</dcterms:modified>
</cp:coreProperties>
</file>