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2178" w:rsidRDefault="00A921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Default="00860CF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67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6254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Pr="00B134AF"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B134AF">
        <w:rPr>
          <w:color w:val="000000" w:themeColor="text1"/>
          <w:u w:color="000000" w:themeColor="text1"/>
        </w:rPr>
        <w:t>TO AMEND SECTION 12</w:t>
      </w:r>
      <w:r w:rsidR="00F95E7A">
        <w:rPr>
          <w:color w:val="000000" w:themeColor="text1"/>
          <w:u w:color="000000" w:themeColor="text1"/>
        </w:rPr>
        <w:noBreakHyphen/>
      </w:r>
      <w:r w:rsidRPr="00B134AF">
        <w:rPr>
          <w:color w:val="000000" w:themeColor="text1"/>
          <w:u w:color="000000" w:themeColor="text1"/>
        </w:rPr>
        <w:t>6</w:t>
      </w:r>
      <w:r w:rsidR="00F95E7A">
        <w:rPr>
          <w:color w:val="000000" w:themeColor="text1"/>
          <w:u w:color="000000" w:themeColor="text1"/>
        </w:rPr>
        <w:noBreakHyphen/>
      </w:r>
      <w:r w:rsidRPr="00B134AF">
        <w:rPr>
          <w:color w:val="000000" w:themeColor="text1"/>
          <w:u w:color="000000" w:themeColor="text1"/>
        </w:rPr>
        <w:t>3385, AS AMENDED, CODE OF LAWS OF SOUTH CAROLINA, 1976, RELATING TO REFUNDABLE STATE INDIVIDUAL INCOME TAX CREDIT DEFINITIONS, SO AS TO</w:t>
      </w:r>
      <w:r>
        <w:rPr>
          <w:color w:val="000000" w:themeColor="text1"/>
          <w:u w:color="000000" w:themeColor="text1"/>
        </w:rPr>
        <w:t xml:space="preserve"> </w:t>
      </w:r>
      <w:r w:rsidRPr="00B134AF">
        <w:rPr>
          <w:color w:val="000000" w:themeColor="text1"/>
          <w:u w:color="000000" w:themeColor="text1"/>
        </w:rPr>
        <w:t>REVISE THE DEFINITION OF “STUDENT” TO INCLUDE PALMETTO FELLOWS AND LIFE SCHOLARSHIP RECIPIENTS.</w:t>
      </w:r>
    </w:p>
    <w:p w:rsidR="00862542" w:rsidRDefault="00862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62542" w:rsidRDefault="00862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62542" w:rsidRDefault="0086254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0CF8" w:rsidRPr="00B134AF"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4AF">
        <w:rPr>
          <w:color w:val="000000" w:themeColor="text1"/>
          <w:u w:color="000000" w:themeColor="text1"/>
        </w:rPr>
        <w:t>SECTION</w:t>
      </w:r>
      <w:r>
        <w:rPr>
          <w:color w:val="000000" w:themeColor="text1"/>
          <w:u w:color="000000" w:themeColor="text1"/>
        </w:rPr>
        <w:tab/>
      </w:r>
      <w:r w:rsidRPr="00B134AF">
        <w:rPr>
          <w:color w:val="000000" w:themeColor="text1"/>
          <w:u w:color="000000" w:themeColor="text1"/>
        </w:rPr>
        <w:t>1.</w:t>
      </w:r>
      <w:r w:rsidRPr="00B134AF">
        <w:rPr>
          <w:color w:val="000000" w:themeColor="text1"/>
          <w:u w:color="000000" w:themeColor="text1"/>
        </w:rPr>
        <w:tab/>
        <w:t>Section 12</w:t>
      </w:r>
      <w:r w:rsidR="00F95E7A">
        <w:rPr>
          <w:color w:val="000000" w:themeColor="text1"/>
          <w:u w:color="000000" w:themeColor="text1"/>
        </w:rPr>
        <w:noBreakHyphen/>
      </w:r>
      <w:r w:rsidRPr="00B134AF">
        <w:rPr>
          <w:color w:val="000000" w:themeColor="text1"/>
          <w:u w:color="000000" w:themeColor="text1"/>
        </w:rPr>
        <w:t>6</w:t>
      </w:r>
      <w:r w:rsidR="00F95E7A">
        <w:rPr>
          <w:color w:val="000000" w:themeColor="text1"/>
          <w:u w:color="000000" w:themeColor="text1"/>
        </w:rPr>
        <w:noBreakHyphen/>
      </w:r>
      <w:r w:rsidRPr="00B134AF">
        <w:rPr>
          <w:color w:val="000000" w:themeColor="text1"/>
          <w:u w:color="000000" w:themeColor="text1"/>
        </w:rPr>
        <w:t>3385(B) of the 1976 Code is amended to read:</w:t>
      </w:r>
    </w:p>
    <w:p w:rsidR="00860CF8"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bookmarkStart w:id="4" w:name="billstart"/>
      <w:bookmarkEnd w:id="4"/>
      <w:r w:rsidRPr="000A1BD1">
        <w:rPr>
          <w:color w:val="000000" w:themeColor="text1"/>
          <w:u w:color="000000" w:themeColor="text1"/>
        </w:rPr>
        <w:t>(B)</w:t>
      </w:r>
      <w:r>
        <w:rPr>
          <w:color w:val="000000" w:themeColor="text1"/>
          <w:u w:color="000000" w:themeColor="text1"/>
        </w:rPr>
        <w:tab/>
      </w:r>
      <w:r w:rsidRPr="000A1BD1">
        <w:rPr>
          <w:color w:val="000000" w:themeColor="text1"/>
          <w:u w:color="000000" w:themeColor="text1"/>
        </w:rPr>
        <w:t xml:space="preserve">As used in this section: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(1)</w:t>
      </w:r>
      <w:r>
        <w:rPr>
          <w:color w:val="000000" w:themeColor="text1"/>
          <w:u w:color="000000" w:themeColor="text1"/>
        </w:rPr>
        <w:tab/>
      </w:r>
      <w:r w:rsidR="00F95E7A" w:rsidRPr="00F95E7A">
        <w:rPr>
          <w:color w:val="000000" w:themeColor="text1"/>
          <w:u w:color="000000" w:themeColor="text1"/>
        </w:rPr>
        <w:t>‘</w:t>
      </w:r>
      <w:r w:rsidRPr="000A1BD1">
        <w:rPr>
          <w:color w:val="000000" w:themeColor="text1"/>
          <w:u w:color="000000" w:themeColor="text1"/>
        </w:rPr>
        <w:t>Institution of higher learning</w:t>
      </w:r>
      <w:r w:rsidR="00F95E7A" w:rsidRPr="00F95E7A">
        <w:rPr>
          <w:color w:val="000000" w:themeColor="text1"/>
          <w:u w:color="000000" w:themeColor="text1"/>
        </w:rPr>
        <w:t>’</w:t>
      </w:r>
      <w:r w:rsidRPr="000A1BD1">
        <w:rPr>
          <w:color w:val="000000" w:themeColor="text1"/>
          <w:u w:color="000000" w:themeColor="text1"/>
        </w:rPr>
        <w:t xml:space="preserve"> means a South Carolina public institution defined in Section 59</w:t>
      </w:r>
      <w:r w:rsidR="00F95E7A">
        <w:rPr>
          <w:color w:val="000000" w:themeColor="text1"/>
          <w:u w:color="000000" w:themeColor="text1"/>
        </w:rPr>
        <w:noBreakHyphen/>
      </w:r>
      <w:r w:rsidRPr="000A1BD1">
        <w:rPr>
          <w:color w:val="000000" w:themeColor="text1"/>
          <w:u w:color="000000" w:themeColor="text1"/>
        </w:rPr>
        <w:t>103</w:t>
      </w:r>
      <w:r w:rsidR="00F95E7A">
        <w:rPr>
          <w:color w:val="000000" w:themeColor="text1"/>
          <w:u w:color="000000" w:themeColor="text1"/>
        </w:rPr>
        <w:noBreakHyphen/>
      </w:r>
      <w:r w:rsidRPr="000A1BD1">
        <w:rPr>
          <w:color w:val="000000" w:themeColor="text1"/>
          <w:u w:color="000000" w:themeColor="text1"/>
        </w:rPr>
        <w:t>5 and an independent institution as defined in Section 59</w:t>
      </w:r>
      <w:r w:rsidR="00F95E7A">
        <w:rPr>
          <w:color w:val="000000" w:themeColor="text1"/>
          <w:u w:color="000000" w:themeColor="text1"/>
        </w:rPr>
        <w:noBreakHyphen/>
      </w:r>
      <w:r w:rsidRPr="000A1BD1">
        <w:rPr>
          <w:color w:val="000000" w:themeColor="text1"/>
          <w:u w:color="000000" w:themeColor="text1"/>
        </w:rPr>
        <w:t>113</w:t>
      </w:r>
      <w:r w:rsidR="00F95E7A">
        <w:rPr>
          <w:color w:val="000000" w:themeColor="text1"/>
          <w:u w:color="000000" w:themeColor="text1"/>
        </w:rPr>
        <w:noBreakHyphen/>
      </w:r>
      <w:r w:rsidRPr="000A1BD1">
        <w:rPr>
          <w:color w:val="000000" w:themeColor="text1"/>
          <w:u w:color="000000" w:themeColor="text1"/>
        </w:rPr>
        <w:t xml:space="preserve">50.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(2)</w:t>
      </w:r>
      <w:r>
        <w:rPr>
          <w:color w:val="000000" w:themeColor="text1"/>
          <w:u w:color="000000" w:themeColor="text1"/>
        </w:rPr>
        <w:tab/>
      </w:r>
      <w:r w:rsidRPr="000A1BD1">
        <w:rPr>
          <w:color w:val="000000" w:themeColor="text1"/>
          <w:u w:color="000000" w:themeColor="text1"/>
        </w:rPr>
        <w:t xml:space="preserve">A </w:t>
      </w:r>
      <w:r w:rsidR="00F95E7A" w:rsidRPr="00F95E7A">
        <w:rPr>
          <w:color w:val="000000" w:themeColor="text1"/>
          <w:u w:color="000000" w:themeColor="text1"/>
        </w:rPr>
        <w:t>‘</w:t>
      </w:r>
      <w:r w:rsidRPr="000A1BD1">
        <w:rPr>
          <w:color w:val="000000" w:themeColor="text1"/>
          <w:u w:color="000000" w:themeColor="text1"/>
        </w:rPr>
        <w:t>designated institution</w:t>
      </w:r>
      <w:r w:rsidR="00F95E7A" w:rsidRPr="00F95E7A">
        <w:rPr>
          <w:color w:val="000000" w:themeColor="text1"/>
          <w:u w:color="000000" w:themeColor="text1"/>
        </w:rPr>
        <w:t>’</w:t>
      </w:r>
      <w:r w:rsidRPr="000A1BD1">
        <w:rPr>
          <w:color w:val="000000" w:themeColor="text1"/>
          <w:u w:color="000000" w:themeColor="text1"/>
        </w:rPr>
        <w:t xml:space="preserve"> means a public or independent bachelor</w:t>
      </w:r>
      <w:r w:rsidR="00F95E7A" w:rsidRPr="00F95E7A">
        <w:rPr>
          <w:color w:val="000000" w:themeColor="text1"/>
          <w:u w:color="000000" w:themeColor="text1"/>
        </w:rPr>
        <w:t>’</w:t>
      </w:r>
      <w:r w:rsidRPr="000A1BD1">
        <w:rPr>
          <w:color w:val="000000" w:themeColor="text1"/>
          <w:u w:color="000000" w:themeColor="text1"/>
        </w:rPr>
        <w:t>s level institution chartered before 1962 whose major campus and headquarters are located within South Carolina;  or an independent bachelor</w:t>
      </w:r>
      <w:r w:rsidR="00F95E7A" w:rsidRPr="00F95E7A">
        <w:rPr>
          <w:color w:val="000000" w:themeColor="text1"/>
          <w:u w:color="000000" w:themeColor="text1"/>
        </w:rPr>
        <w:t>’</w:t>
      </w:r>
      <w:r w:rsidRPr="000A1BD1">
        <w:rPr>
          <w:color w:val="000000" w:themeColor="text1"/>
          <w:u w:color="000000" w:themeColor="text1"/>
        </w:rPr>
        <w:t>s level institution which has attained 501(c)(3) tax status and is accredited by the Southern Association of Colleges and Secondary Schools or the New England Association of Colleges and Schools;  or a public or independent two</w:t>
      </w:r>
      <w:r w:rsidR="00F95E7A">
        <w:rPr>
          <w:color w:val="000000" w:themeColor="text1"/>
          <w:u w:color="000000" w:themeColor="text1"/>
        </w:rPr>
        <w:noBreakHyphen/>
      </w:r>
      <w:r w:rsidRPr="000A1BD1">
        <w:rPr>
          <w:color w:val="000000" w:themeColor="text1"/>
          <w:u w:color="000000" w:themeColor="text1"/>
        </w:rPr>
        <w:t xml:space="preserve">year institution which has attained 501(c)(3) tax status.  Institutions whose sole purpose is religious or theological training, or the granting of professional degrees do not meet the definition of “institution of higher learning” or “designated institution” as defined in this section.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(3)</w:t>
      </w:r>
      <w:r>
        <w:rPr>
          <w:color w:val="000000" w:themeColor="text1"/>
          <w:u w:color="000000" w:themeColor="text1"/>
        </w:rPr>
        <w:tab/>
      </w:r>
      <w:r w:rsidR="00F95E7A" w:rsidRPr="00F95E7A">
        <w:rPr>
          <w:color w:val="000000" w:themeColor="text1"/>
          <w:u w:color="000000" w:themeColor="text1"/>
        </w:rPr>
        <w:t>‘</w:t>
      </w:r>
      <w:r w:rsidRPr="000A1BD1">
        <w:rPr>
          <w:color w:val="000000" w:themeColor="text1"/>
          <w:u w:color="000000" w:themeColor="text1"/>
        </w:rPr>
        <w:t>Student</w:t>
      </w:r>
      <w:r w:rsidR="00F95E7A" w:rsidRPr="00F95E7A">
        <w:rPr>
          <w:color w:val="000000" w:themeColor="text1"/>
          <w:u w:color="000000" w:themeColor="text1"/>
        </w:rPr>
        <w:t>’</w:t>
      </w:r>
      <w:r w:rsidRPr="000A1BD1">
        <w:rPr>
          <w:color w:val="000000" w:themeColor="text1"/>
          <w:u w:color="000000" w:themeColor="text1"/>
        </w:rPr>
        <w:t xml:space="preserve"> means an individual enrolled in an institution of higher learning: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(a)</w:t>
      </w:r>
      <w:r>
        <w:rPr>
          <w:color w:val="000000" w:themeColor="text1"/>
          <w:u w:color="000000" w:themeColor="text1"/>
        </w:rPr>
        <w:tab/>
      </w:r>
      <w:r w:rsidRPr="000A1BD1">
        <w:rPr>
          <w:color w:val="000000" w:themeColor="text1"/>
          <w:u w:color="000000" w:themeColor="text1"/>
        </w:rPr>
        <w:t>eligible for in</w:t>
      </w:r>
      <w:r w:rsidR="00F95E7A">
        <w:rPr>
          <w:color w:val="000000" w:themeColor="text1"/>
          <w:u w:color="000000" w:themeColor="text1"/>
        </w:rPr>
        <w:noBreakHyphen/>
      </w:r>
      <w:r w:rsidRPr="000A1BD1">
        <w:rPr>
          <w:color w:val="000000" w:themeColor="text1"/>
          <w:u w:color="000000" w:themeColor="text1"/>
        </w:rPr>
        <w:t>state tuition and fees as determined pursuant to Chapter 112</w:t>
      </w:r>
      <w:r w:rsidR="00E61F6A">
        <w:rPr>
          <w:color w:val="000000" w:themeColor="text1"/>
          <w:u w:val="single" w:color="000000" w:themeColor="text1"/>
        </w:rPr>
        <w:t>,</w:t>
      </w:r>
      <w:r w:rsidRPr="000A1BD1">
        <w:rPr>
          <w:color w:val="000000" w:themeColor="text1"/>
          <w:u w:color="000000" w:themeColor="text1"/>
        </w:rPr>
        <w:t xml:space="preserve"> </w:t>
      </w:r>
      <w:r w:rsidRPr="00E61F6A">
        <w:rPr>
          <w:strike/>
          <w:color w:val="000000" w:themeColor="text1"/>
          <w:u w:color="000000" w:themeColor="text1"/>
        </w:rPr>
        <w:t>of</w:t>
      </w:r>
      <w:r w:rsidRPr="000A1BD1">
        <w:rPr>
          <w:color w:val="000000" w:themeColor="text1"/>
          <w:u w:color="000000" w:themeColor="text1"/>
        </w:rPr>
        <w:t xml:space="preserve"> Title 59 and applicable regulations;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(b)</w:t>
      </w:r>
      <w:r>
        <w:rPr>
          <w:color w:val="000000" w:themeColor="text1"/>
          <w:u w:color="000000" w:themeColor="text1"/>
        </w:rPr>
        <w:tab/>
      </w:r>
      <w:r w:rsidRPr="000A1BD1">
        <w:rPr>
          <w:color w:val="000000" w:themeColor="text1"/>
          <w:u w:color="000000" w:themeColor="text1"/>
        </w:rPr>
        <w:t xml:space="preserve">who at the end of the taxable year for which the credit is claimed has completed at least thirty credit hours each year, or its equivalent, as determined by the Commission on Higher Education, and who is admitted, enrolled, and classified as a degree seeking undergraduate or enrolled in a certificate or diploma program of at least one year;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(c)</w:t>
      </w:r>
      <w:r>
        <w:rPr>
          <w:color w:val="000000" w:themeColor="text1"/>
          <w:u w:color="000000" w:themeColor="text1"/>
        </w:rPr>
        <w:tab/>
      </w:r>
      <w:r w:rsidRPr="000A1BD1">
        <w:rPr>
          <w:color w:val="000000" w:themeColor="text1"/>
          <w:u w:color="000000" w:themeColor="text1"/>
        </w:rPr>
        <w:t xml:space="preserve">who, within twelve months before enrolling: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(i)</w:t>
      </w:r>
      <w:r w:rsidR="00F95E7A">
        <w:rPr>
          <w:color w:val="000000" w:themeColor="text1"/>
          <w:u w:color="000000" w:themeColor="text1"/>
        </w:rPr>
        <w:tab/>
      </w:r>
      <w:r>
        <w:rPr>
          <w:color w:val="000000" w:themeColor="text1"/>
          <w:u w:color="000000" w:themeColor="text1"/>
        </w:rPr>
        <w:tab/>
      </w:r>
      <w:r w:rsidRPr="000A1BD1">
        <w:rPr>
          <w:color w:val="000000" w:themeColor="text1"/>
          <w:u w:color="000000" w:themeColor="text1"/>
        </w:rPr>
        <w:t xml:space="preserve">graduated from a high school in this State;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(ii)</w:t>
      </w:r>
      <w:r>
        <w:rPr>
          <w:color w:val="000000" w:themeColor="text1"/>
          <w:u w:color="000000" w:themeColor="text1"/>
        </w:rPr>
        <w:tab/>
      </w:r>
      <w:r w:rsidRPr="000A1BD1">
        <w:rPr>
          <w:color w:val="000000" w:themeColor="text1"/>
          <w:u w:color="000000" w:themeColor="text1"/>
        </w:rPr>
        <w:t xml:space="preserve">successfully completed a high school home school program in this State in the manner required by law;  or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(iii)</w:t>
      </w:r>
      <w:r>
        <w:rPr>
          <w:color w:val="000000" w:themeColor="text1"/>
          <w:u w:color="000000" w:themeColor="text1"/>
        </w:rPr>
        <w:tab/>
      </w:r>
      <w:r w:rsidRPr="000A1BD1">
        <w:rPr>
          <w:color w:val="000000" w:themeColor="text1"/>
          <w:u w:color="000000" w:themeColor="text1"/>
        </w:rPr>
        <w:t xml:space="preserve">graduated from a preparatory high school outside this State while a dependent of a parent or guardian who is a legal resident of this State and has custody of the dependent;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(d)</w:t>
      </w:r>
      <w:r>
        <w:rPr>
          <w:color w:val="000000" w:themeColor="text1"/>
          <w:u w:color="000000" w:themeColor="text1"/>
        </w:rPr>
        <w:tab/>
      </w:r>
      <w:r w:rsidRPr="000A1BD1">
        <w:rPr>
          <w:color w:val="000000" w:themeColor="text1"/>
          <w:u w:color="000000" w:themeColor="text1"/>
        </w:rPr>
        <w:t xml:space="preserve">not in default on a Federal Title IV or State of South Carolina educational loan, nor who owes a refund on a Federal Title IV or a State of South Carolina student financial aid program;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(e)</w:t>
      </w:r>
      <w:r>
        <w:rPr>
          <w:color w:val="000000" w:themeColor="text1"/>
          <w:u w:color="000000" w:themeColor="text1"/>
        </w:rPr>
        <w:tab/>
      </w:r>
      <w:r w:rsidRPr="000A1BD1">
        <w:rPr>
          <w:color w:val="000000" w:themeColor="text1"/>
          <w:u w:color="000000" w:themeColor="text1"/>
        </w:rPr>
        <w:t>who has not been adjudicated delinquent or been convicted or pled guilty or nolo contendere to any felonies or any alcohol or drug related offenses under the laws of this State, any other state or comparable jurisdiction, or the United States;  except that a student who has been adjudicated delinquent or has been convicted or pled guilty or nolo contendere to an alcohol or drug related misdemeanor offense is ineligible only for the taxable year in which the adjudication, conviction, or plea occurred</w:t>
      </w:r>
      <w:r w:rsidRPr="00E61F6A">
        <w:rPr>
          <w:color w:val="000000" w:themeColor="text1"/>
          <w:u w:color="000000" w:themeColor="text1"/>
        </w:rPr>
        <w:t>;</w:t>
      </w:r>
      <w:r w:rsidRPr="000A1BD1">
        <w:rPr>
          <w:color w:val="000000" w:themeColor="text1"/>
          <w:u w:color="000000" w:themeColor="text1"/>
        </w:rPr>
        <w:t xml:space="preserv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(f)</w:t>
      </w:r>
      <w:r>
        <w:rPr>
          <w:color w:val="000000" w:themeColor="text1"/>
          <w:u w:color="000000" w:themeColor="text1"/>
        </w:rPr>
        <w:tab/>
      </w:r>
      <w:r w:rsidRPr="000A1BD1">
        <w:rPr>
          <w:color w:val="000000" w:themeColor="text1"/>
          <w:u w:color="000000" w:themeColor="text1"/>
        </w:rPr>
        <w:t>who is in good standing at the institution attended</w:t>
      </w:r>
      <w:r w:rsidRPr="00E61F6A">
        <w:rPr>
          <w:strike/>
          <w:color w:val="000000" w:themeColor="text1"/>
          <w:u w:color="000000" w:themeColor="text1"/>
        </w:rPr>
        <w:t>;</w:t>
      </w:r>
      <w:r w:rsidRPr="000A1BD1">
        <w:rPr>
          <w:color w:val="000000" w:themeColor="text1"/>
          <w:u w:color="000000" w:themeColor="text1"/>
        </w:rPr>
        <w:t xml:space="preserv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F95E7A">
        <w:rPr>
          <w:strike/>
          <w:color w:val="000000" w:themeColor="text1"/>
          <w:u w:color="000000" w:themeColor="text1"/>
        </w:rPr>
        <w:t>(g)</w:t>
      </w:r>
      <w:r>
        <w:rPr>
          <w:color w:val="000000" w:themeColor="text1"/>
          <w:u w:color="000000" w:themeColor="text1"/>
        </w:rPr>
        <w:tab/>
      </w:r>
      <w:r w:rsidRPr="00F95E7A">
        <w:rPr>
          <w:strike/>
          <w:color w:val="000000" w:themeColor="text1"/>
          <w:u w:color="000000" w:themeColor="text1"/>
        </w:rPr>
        <w:t>who is not a Palmetto Fellowship recipient;</w:t>
      </w:r>
      <w:r w:rsidRPr="000A1BD1">
        <w:rPr>
          <w:color w:val="000000" w:themeColor="text1"/>
          <w:u w:color="000000" w:themeColor="text1"/>
        </w:rPr>
        <w:t xml:space="preserve"> </w:t>
      </w:r>
    </w:p>
    <w:p w:rsidR="00860CF8" w:rsidRPr="000A1BD1" w:rsidRDefault="00F95E7A"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860CF8" w:rsidRPr="00F95E7A">
        <w:rPr>
          <w:strike/>
          <w:color w:val="000000" w:themeColor="text1"/>
          <w:u w:color="000000" w:themeColor="text1"/>
        </w:rPr>
        <w:t>(h)</w:t>
      </w:r>
      <w:r>
        <w:rPr>
          <w:color w:val="000000" w:themeColor="text1"/>
          <w:u w:color="000000" w:themeColor="text1"/>
        </w:rPr>
        <w:tab/>
      </w:r>
      <w:r w:rsidR="00860CF8" w:rsidRPr="00F95E7A">
        <w:rPr>
          <w:strike/>
          <w:color w:val="000000" w:themeColor="text1"/>
          <w:u w:color="000000" w:themeColor="text1"/>
        </w:rPr>
        <w:t>who is not a LIFE Scholarship recipient</w:t>
      </w:r>
      <w:r w:rsidR="00860CF8" w:rsidRPr="000A1BD1">
        <w:rPr>
          <w:color w:val="000000" w:themeColor="text1"/>
          <w:u w:color="000000" w:themeColor="text1"/>
        </w:rPr>
        <w:t xml:space="preserve">. </w:t>
      </w:r>
    </w:p>
    <w:p w:rsidR="00860CF8" w:rsidRPr="000A1BD1"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A1BD1">
        <w:rPr>
          <w:color w:val="000000" w:themeColor="text1"/>
          <w:u w:color="000000" w:themeColor="text1"/>
        </w:rPr>
        <w:t>(4)</w:t>
      </w:r>
      <w:r>
        <w:rPr>
          <w:color w:val="000000" w:themeColor="text1"/>
          <w:u w:color="000000" w:themeColor="text1"/>
        </w:rPr>
        <w:tab/>
      </w:r>
      <w:r w:rsidR="00F95E7A" w:rsidRPr="00F95E7A">
        <w:rPr>
          <w:color w:val="000000" w:themeColor="text1"/>
          <w:u w:color="000000" w:themeColor="text1"/>
        </w:rPr>
        <w:t>‘</w:t>
      </w:r>
      <w:r w:rsidRPr="000A1BD1">
        <w:rPr>
          <w:color w:val="000000" w:themeColor="text1"/>
          <w:u w:color="000000" w:themeColor="text1"/>
        </w:rPr>
        <w:t>Tuition</w:t>
      </w:r>
      <w:r w:rsidR="00F95E7A" w:rsidRPr="00F95E7A">
        <w:rPr>
          <w:color w:val="000000" w:themeColor="text1"/>
          <w:u w:color="000000" w:themeColor="text1"/>
        </w:rPr>
        <w:t>’</w:t>
      </w:r>
      <w:r w:rsidRPr="000A1BD1">
        <w:rPr>
          <w:color w:val="000000" w:themeColor="text1"/>
          <w:u w:color="000000" w:themeColor="text1"/>
        </w:rPr>
        <w:t xml:space="preserve"> means the amount charged, including required fees, necessary for enrollment. Higher education tuition at an independent institution means the average tuition at the four</w:t>
      </w:r>
      <w:r w:rsidR="00F95E7A">
        <w:rPr>
          <w:color w:val="000000" w:themeColor="text1"/>
          <w:u w:color="000000" w:themeColor="text1"/>
        </w:rPr>
        <w:noBreakHyphen/>
      </w:r>
      <w:r w:rsidRPr="000A1BD1">
        <w:rPr>
          <w:color w:val="000000" w:themeColor="text1"/>
          <w:u w:color="000000" w:themeColor="text1"/>
        </w:rPr>
        <w:t>year public institutions of higher learning as defined in Section 59</w:t>
      </w:r>
      <w:r w:rsidR="00F95E7A">
        <w:rPr>
          <w:color w:val="000000" w:themeColor="text1"/>
          <w:u w:color="000000" w:themeColor="text1"/>
        </w:rPr>
        <w:noBreakHyphen/>
      </w:r>
      <w:r w:rsidRPr="000A1BD1">
        <w:rPr>
          <w:color w:val="000000" w:themeColor="text1"/>
          <w:u w:color="000000" w:themeColor="text1"/>
        </w:rPr>
        <w:t>103</w:t>
      </w:r>
      <w:r w:rsidR="00F95E7A">
        <w:rPr>
          <w:color w:val="000000" w:themeColor="text1"/>
          <w:u w:color="000000" w:themeColor="text1"/>
        </w:rPr>
        <w:noBreakHyphen/>
      </w:r>
      <w:r w:rsidRPr="000A1BD1">
        <w:rPr>
          <w:color w:val="000000" w:themeColor="text1"/>
          <w:u w:color="000000" w:themeColor="text1"/>
        </w:rPr>
        <w:t>15(B)(2), but not more than the actual tuition charged.  Before calculating the credit, there must be deducted from tuition any amounts received toward its payment by any other scholarship</w:t>
      </w:r>
      <w:r>
        <w:rPr>
          <w:color w:val="000000" w:themeColor="text1"/>
          <w:u w:color="000000" w:themeColor="text1"/>
        </w:rPr>
        <w:t xml:space="preserve"> grants.”</w:t>
      </w:r>
    </w:p>
    <w:p w:rsidR="00860CF8"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60CF8" w:rsidRPr="00B134AF" w:rsidRDefault="00860CF8" w:rsidP="00860C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34AF">
        <w:rPr>
          <w:color w:val="000000" w:themeColor="text1"/>
          <w:u w:color="000000" w:themeColor="text1"/>
        </w:rPr>
        <w:t>SECTION</w:t>
      </w:r>
      <w:r>
        <w:rPr>
          <w:color w:val="000000" w:themeColor="text1"/>
          <w:u w:color="000000" w:themeColor="text1"/>
        </w:rPr>
        <w:tab/>
      </w:r>
      <w:r w:rsidRPr="00B134AF">
        <w:rPr>
          <w:color w:val="000000" w:themeColor="text1"/>
          <w:u w:color="000000" w:themeColor="text1"/>
        </w:rPr>
        <w:t>2.</w:t>
      </w:r>
      <w:r w:rsidRPr="00B134AF">
        <w:rPr>
          <w:color w:val="000000" w:themeColor="text1"/>
          <w:u w:color="000000" w:themeColor="text1"/>
        </w:rPr>
        <w:tab/>
        <w:t>This act takes effect upon approval by the Governor.</w:t>
      </w:r>
    </w:p>
    <w:p w:rsidR="005967B8" w:rsidRDefault="00F95E7A" w:rsidP="006E6B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67B8" w:rsidRDefault="005967B8" w:rsidP="005967B8">
      <w:pPr>
        <w:suppressAutoHyphens/>
      </w:pPr>
    </w:p>
    <w:sectPr w:rsidR="005967B8" w:rsidSect="005967B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0CF8" w:rsidRDefault="00860CF8" w:rsidP="009F0C77">
      <w:r>
        <w:separator/>
      </w:r>
    </w:p>
  </w:endnote>
  <w:endnote w:type="continuationSeparator" w:id="0">
    <w:p w:rsidR="00860CF8" w:rsidRDefault="00860CF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53B878-C47F-40FB-88BB-7D733A1B1265}"/>
    <w:embedBold r:id="rId2" w:fontKey="{6DB716D9-CBDC-4F16-AB68-B78D4F984D3D}"/>
  </w:font>
  <w:font w:name="Calibri">
    <w:panose1 w:val="020F0502020204030204"/>
    <w:charset w:val="00"/>
    <w:family w:val="swiss"/>
    <w:pitch w:val="variable"/>
    <w:sig w:usb0="A00002EF" w:usb1="4000207B" w:usb2="00000000" w:usb3="00000000" w:csb0="0000009F" w:csb1="00000000"/>
    <w:embedRegular r:id="rId3" w:fontKey="{C8C06D22-09F1-43DF-BA85-45C8F90D9DC0}"/>
  </w:font>
  <w:font w:name="Tahoma">
    <w:panose1 w:val="020B0604030504040204"/>
    <w:charset w:val="00"/>
    <w:family w:val="swiss"/>
    <w:pitch w:val="variable"/>
    <w:sig w:usb0="61002A87" w:usb1="80000000" w:usb2="00000008" w:usb3="00000000" w:csb0="000101FF" w:csb1="00000000"/>
    <w:embedRegular r:id="rId4" w:fontKey="{D917AC9A-AAF7-4F0C-B6D7-2CE40E504A67}"/>
  </w:font>
  <w:font w:name="Cambria">
    <w:panose1 w:val="02040503050406030204"/>
    <w:charset w:val="00"/>
    <w:family w:val="roman"/>
    <w:pitch w:val="variable"/>
    <w:sig w:usb0="A00002EF" w:usb1="4000004B" w:usb2="00000000" w:usb3="00000000" w:csb0="0000009F" w:csb1="00000000"/>
    <w:embedRegular r:id="rId5" w:fontKey="{1F855901-6995-495F-8A51-809AAF56F0E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691D" w:rsidRPr="005967B8" w:rsidRDefault="005967B8" w:rsidP="005967B8">
    <w:pPr>
      <w:pStyle w:val="Footer"/>
      <w:tabs>
        <w:tab w:val="clear" w:pos="4680"/>
        <w:tab w:val="clear" w:pos="9360"/>
        <w:tab w:val="center" w:pos="2995"/>
      </w:tabs>
      <w:spacing w:before="120"/>
    </w:pPr>
    <w:r>
      <w:t>[1333]</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0CF8" w:rsidRDefault="00860CF8" w:rsidP="009F0C77">
      <w:r>
        <w:separator/>
      </w:r>
    </w:p>
  </w:footnote>
  <w:footnote w:type="continuationSeparator" w:id="0">
    <w:p w:rsidR="00860CF8" w:rsidRDefault="00860CF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2586BH10"/>
    <w:docVar w:name="CoverBillType" w:val="b"/>
    <w:docVar w:name="docpath" w:val="L:\Council\bills\GGS\22586BH10.DOCX"/>
    <w:docVar w:name="dvBillNumber" w:val="1333"/>
    <w:docVar w:name="dvBillNumberPrefix" w:val="S. "/>
    <w:docVar w:name="dvOriginalBody" w:val="Senate"/>
    <w:docVar w:name="dvSteno" w:val="GGS"/>
    <w:docVar w:name="NameofBody" w:val="s"/>
    <w:docVar w:name="vgroup2" w:val="Council"/>
  </w:docVars>
  <w:rsids>
    <w:rsidRoot w:val="00520CAA"/>
    <w:rsid w:val="00026C9A"/>
    <w:rsid w:val="000306F9"/>
    <w:rsid w:val="000459E5"/>
    <w:rsid w:val="000965A1"/>
    <w:rsid w:val="000E1785"/>
    <w:rsid w:val="001023A4"/>
    <w:rsid w:val="0010776B"/>
    <w:rsid w:val="00133E66"/>
    <w:rsid w:val="00134ACF"/>
    <w:rsid w:val="00144E15"/>
    <w:rsid w:val="00185352"/>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A55"/>
    <w:rsid w:val="00393688"/>
    <w:rsid w:val="003A15EE"/>
    <w:rsid w:val="003D411E"/>
    <w:rsid w:val="003E3C1E"/>
    <w:rsid w:val="003E6148"/>
    <w:rsid w:val="00400EAA"/>
    <w:rsid w:val="00407674"/>
    <w:rsid w:val="0041760A"/>
    <w:rsid w:val="004809EE"/>
    <w:rsid w:val="004F2BA3"/>
    <w:rsid w:val="005050C5"/>
    <w:rsid w:val="00511EE9"/>
    <w:rsid w:val="00516BF8"/>
    <w:rsid w:val="00520CAA"/>
    <w:rsid w:val="00521E00"/>
    <w:rsid w:val="00577C6C"/>
    <w:rsid w:val="0058501B"/>
    <w:rsid w:val="005967B8"/>
    <w:rsid w:val="005E1017"/>
    <w:rsid w:val="006215AA"/>
    <w:rsid w:val="006340D9"/>
    <w:rsid w:val="00643B8E"/>
    <w:rsid w:val="00665EBC"/>
    <w:rsid w:val="0069470D"/>
    <w:rsid w:val="006A476C"/>
    <w:rsid w:val="006C6A93"/>
    <w:rsid w:val="006E02F9"/>
    <w:rsid w:val="006E6B27"/>
    <w:rsid w:val="00753C04"/>
    <w:rsid w:val="00756946"/>
    <w:rsid w:val="00757F80"/>
    <w:rsid w:val="00771EEC"/>
    <w:rsid w:val="00786819"/>
    <w:rsid w:val="007A325A"/>
    <w:rsid w:val="007F1523"/>
    <w:rsid w:val="007F509E"/>
    <w:rsid w:val="007F5799"/>
    <w:rsid w:val="007F6947"/>
    <w:rsid w:val="00860CF8"/>
    <w:rsid w:val="00862542"/>
    <w:rsid w:val="00872729"/>
    <w:rsid w:val="008D0C86"/>
    <w:rsid w:val="008F4429"/>
    <w:rsid w:val="009352BB"/>
    <w:rsid w:val="00986997"/>
    <w:rsid w:val="00990668"/>
    <w:rsid w:val="009A2EB3"/>
    <w:rsid w:val="009F0C77"/>
    <w:rsid w:val="009F4DD1"/>
    <w:rsid w:val="00A64E80"/>
    <w:rsid w:val="00A741D9"/>
    <w:rsid w:val="00A92178"/>
    <w:rsid w:val="00A9741D"/>
    <w:rsid w:val="00AD4B17"/>
    <w:rsid w:val="00B2691D"/>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61F6A"/>
    <w:rsid w:val="00EB00A2"/>
    <w:rsid w:val="00EB1BF3"/>
    <w:rsid w:val="00EF3EEE"/>
    <w:rsid w:val="00F149A7"/>
    <w:rsid w:val="00F50BAF"/>
    <w:rsid w:val="00F52C10"/>
    <w:rsid w:val="00F81FFD"/>
    <w:rsid w:val="00F85228"/>
    <w:rsid w:val="00F95E7A"/>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95E7A"/>
    <w:rPr>
      <w:rFonts w:ascii="Tahoma" w:hAnsi="Tahoma" w:cs="Tahoma"/>
      <w:sz w:val="16"/>
      <w:szCs w:val="16"/>
    </w:rPr>
  </w:style>
  <w:style w:type="character" w:customStyle="1" w:styleId="BalloonTextChar">
    <w:name w:val="Balloon Text Char"/>
    <w:basedOn w:val="DefaultParagraphFont"/>
    <w:link w:val="BalloonText"/>
    <w:uiPriority w:val="99"/>
    <w:semiHidden/>
    <w:rsid w:val="00F95E7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124B83-9A85-4DD8-A1A1-451D277751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555</Words>
  <Characters>3165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2010-03-30T17:06:00Z</cp:lastPrinted>
  <dcterms:created xsi:type="dcterms:W3CDTF">2010-03-31T15:30:00Z</dcterms:created>
  <dcterms:modified xsi:type="dcterms:W3CDTF">2010-03-31T15:30:00Z</dcterms:modified>
</cp:coreProperties>
</file>