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12788" w:rsidRP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5352B" w:rsidRDefault="00F5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F5352B" w:rsidRDefault="00F5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29, 2009</w:t>
      </w:r>
    </w:p>
    <w:p w:rsidR="00F5352B" w:rsidRDefault="00F5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5352B" w:rsidRPr="00F5352B" w:rsidRDefault="00F5352B" w:rsidP="00F5352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13</w:t>
      </w:r>
    </w:p>
    <w:p w:rsidR="00F5352B" w:rsidRDefault="00F5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5352B" w:rsidRDefault="00F5352B" w:rsidP="00F5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Leatherman, Elliott and Campbell</w:t>
      </w:r>
    </w:p>
    <w:p w:rsidR="00F5352B" w:rsidRDefault="00F5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5352B" w:rsidRDefault="00F5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4/29/09--H.</w:t>
      </w:r>
    </w:p>
    <w:p w:rsidR="00F5352B" w:rsidRDefault="00F5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12, 2009.</w:t>
      </w:r>
    </w:p>
    <w:p w:rsidR="00F5352B" w:rsidRPr="00F5352B" w:rsidRDefault="00F5352B" w:rsidP="00F5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5352B" w:rsidRDefault="00F53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12788"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12788" w:rsidSect="0041278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TO AMEND SECTION 56</w:t>
      </w:r>
      <w:r>
        <w:rPr>
          <w:rFonts w:eastAsia="Calibri" w:cs="Times New Roman"/>
        </w:rPr>
        <w:noBreakHyphen/>
        <w:t>3</w:t>
      </w:r>
      <w:r>
        <w:rPr>
          <w:rFonts w:eastAsia="Calibri" w:cs="Times New Roman"/>
        </w:rPr>
        <w:noBreakHyphen/>
        <w:t>910 OF THE 1976 CODE, RELATING TO MOTOR VEHICLE FEES, TO PROVIDE THAT FEES BE PLACED IN THE STATE HIGHWAY ACCOUNT OF THE TRANSPORTATION INFRASTRUCTURE BANK INSTEAD OF THE DEPARTMENT OF TRANSPORTATION.</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56</w:t>
      </w:r>
      <w:r>
        <w:rPr>
          <w:rFonts w:cs="Times New Roman"/>
        </w:rPr>
        <w:noBreakHyphen/>
        <w:t>3</w:t>
      </w:r>
      <w:r>
        <w:rPr>
          <w:rFonts w:cs="Times New Roman"/>
        </w:rPr>
        <w:noBreakHyphen/>
        <w:t>910</w:t>
      </w:r>
      <w:r>
        <w:rPr>
          <w:rFonts w:eastAsia="Calibri" w:cs="Times New Roman"/>
        </w:rPr>
        <w:t xml:space="preserve"> of the 1976 Code is amended to read:</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zCs w:val="24"/>
        </w:rPr>
      </w:pPr>
      <w:r>
        <w:rPr>
          <w:rFonts w:eastAsia="Calibri" w:cs="Times New Roman"/>
        </w:rPr>
        <w:tab/>
        <w:t>“</w:t>
      </w:r>
      <w:r>
        <w:rPr>
          <w:rFonts w:cs="Times New Roman"/>
        </w:rPr>
        <w:t>Section 56</w:t>
      </w:r>
      <w:r>
        <w:rPr>
          <w:rFonts w:cs="Times New Roman"/>
        </w:rPr>
        <w:noBreakHyphen/>
        <w:t>3</w:t>
      </w:r>
      <w:r>
        <w:rPr>
          <w:rFonts w:cs="Times New Roman"/>
        </w:rPr>
        <w:noBreakHyphen/>
        <w:t>910.</w:t>
      </w:r>
      <w:r>
        <w:rPr>
          <w:rFonts w:cs="Times New Roman"/>
        </w:rPr>
        <w:tab/>
      </w:r>
      <w:r>
        <w:rPr>
          <w:rFonts w:eastAsia="Calibri" w:cs="Times New Roman"/>
          <w:strike/>
        </w:rPr>
        <w:t>(A)</w:t>
      </w:r>
      <w:r>
        <w:rPr>
          <w:rFonts w:eastAsia="Calibri" w:cs="Times New Roman"/>
        </w:rPr>
        <w:tab/>
        <w:t xml:space="preserve">All fees and penalties collected by the department under the provisions of this chapter must be </w:t>
      </w:r>
      <w:r>
        <w:rPr>
          <w:rFonts w:eastAsia="Calibri" w:cs="Times New Roman"/>
          <w:strike/>
        </w:rPr>
        <w:t>distributed as provided in subsection (B) of this section except for fees and penalties collected pursuant to Sections 56</w:t>
      </w:r>
      <w:r>
        <w:rPr>
          <w:rFonts w:eastAsia="Calibri" w:cs="Times New Roman"/>
          <w:strike/>
        </w:rPr>
        <w:noBreakHyphen/>
        <w:t>3</w:t>
      </w:r>
      <w:r>
        <w:rPr>
          <w:rFonts w:eastAsia="Calibri" w:cs="Times New Roman"/>
          <w:strike/>
        </w:rPr>
        <w:noBreakHyphen/>
        <w:t>660 and 56</w:t>
      </w:r>
      <w:r>
        <w:rPr>
          <w:rFonts w:eastAsia="Calibri" w:cs="Times New Roman"/>
          <w:strike/>
        </w:rPr>
        <w:noBreakHyphen/>
        <w:t>3</w:t>
      </w:r>
      <w:r>
        <w:rPr>
          <w:rFonts w:eastAsia="Calibri" w:cs="Times New Roman"/>
          <w:strike/>
        </w:rPr>
        <w:noBreakHyphen/>
        <w:t>670 which must be</w:t>
      </w:r>
      <w:r>
        <w:rPr>
          <w:rFonts w:eastAsia="Calibri" w:cs="Times New Roman"/>
        </w:rPr>
        <w:t xml:space="preserve"> placed in the state highway account of the South Carolina Transportation Infrastructure Bank </w:t>
      </w:r>
      <w:r>
        <w:rPr>
          <w:rFonts w:eastAsia="Calibri" w:cs="Times New Roman"/>
          <w:strike/>
        </w:rPr>
        <w:t>and</w:t>
      </w:r>
      <w:r>
        <w:rPr>
          <w:rFonts w:eastAsia="Calibri" w:cs="Times New Roman"/>
        </w:rPr>
        <w:t xml:space="preserve"> except for those fees and penalties which must be credited to a different account as otherwise provided for by law.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Not later than September 1 of each year, the department must provide the South Carolina Transportation Infrastructure Bank a report for the previous fiscal year that lists the total amount of fees and penalties it collected pursuant to Sections 56</w:t>
      </w:r>
      <w:r>
        <w:rPr>
          <w:rFonts w:eastAsia="Calibri" w:cs="Times New Roman"/>
        </w:rPr>
        <w:noBreakHyphen/>
        <w:t>3</w:t>
      </w:r>
      <w:r>
        <w:rPr>
          <w:rFonts w:eastAsia="Calibri" w:cs="Times New Roman"/>
        </w:rPr>
        <w:noBreakHyphen/>
        <w:t>660 and 56</w:t>
      </w:r>
      <w:r>
        <w:rPr>
          <w:rFonts w:eastAsia="Calibri" w:cs="Times New Roman"/>
        </w:rPr>
        <w:noBreakHyphen/>
        <w:t>3</w:t>
      </w:r>
      <w:r>
        <w:rPr>
          <w:rFonts w:eastAsia="Calibri" w:cs="Times New Roman"/>
        </w:rPr>
        <w:noBreakHyphen/>
        <w:t>670 by veh</w:t>
      </w:r>
      <w:r>
        <w:rPr>
          <w:rFonts w:cs="Times New Roman"/>
        </w:rPr>
        <w:t>icle classification and weight.</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strike/>
        </w:rPr>
        <w:t>(B)</w:t>
      </w:r>
      <w:r>
        <w:rPr>
          <w:rFonts w:eastAsia="Calibri" w:cs="Times New Roman"/>
        </w:rPr>
        <w:tab/>
      </w:r>
      <w:r>
        <w:rPr>
          <w:rFonts w:eastAsia="Calibri" w:cs="Times New Roman"/>
          <w:strike/>
        </w:rPr>
        <w:t xml:space="preserve">The fees and penalties collected pursuant to this chapter, except for those provided for separately in subsection (A) of this section, must be credited to the South Carolina Department of Transportation which must make an annual contribution from nonstate tax sources to the State Highway Account of the South Carolina Transportation Infrastructure Bank in an amount equivalent to the amount provided in the following schedule based </w:t>
      </w:r>
      <w:r>
        <w:rPr>
          <w:rFonts w:eastAsia="Calibri" w:cs="Times New Roman"/>
          <w:strike/>
        </w:rPr>
        <w:lastRenderedPageBreak/>
        <w:t xml:space="preserve">on the actual date of receipt by the Department of Motor Vehicles.  However, if the South Carolina Department of Transportation has insufficient nonstate tax sources to make that annual contribution in any fiscal year, the fees and penalties must be placed directly into the State Highway Account of the South Carolina Transportation Infrastructure Bank: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strike/>
        </w:rPr>
        <w:t>Fees and Penalties</w:t>
      </w:r>
      <w:r>
        <w:rPr>
          <w:rFonts w:eastAsia="Calibri" w:cs="Times New Roman"/>
        </w:rPr>
        <w:tab/>
      </w:r>
      <w:r>
        <w:rPr>
          <w:rFonts w:eastAsia="Calibri" w:cs="Times New Roman"/>
        </w:rPr>
        <w:tab/>
      </w:r>
      <w:r>
        <w:rPr>
          <w:rFonts w:eastAsia="Calibri" w:cs="Times New Roman"/>
        </w:rPr>
        <w:tab/>
      </w:r>
      <w:r>
        <w:rPr>
          <w:rFonts w:eastAsia="Calibri" w:cs="Times New Roman"/>
          <w:strike/>
        </w:rPr>
        <w:t>General Fund</w:t>
      </w:r>
      <w:r>
        <w:rPr>
          <w:rFonts w:eastAsia="Calibri" w:cs="Times New Roman"/>
        </w:rPr>
        <w:tab/>
      </w:r>
      <w:r>
        <w:rPr>
          <w:rFonts w:eastAsia="Calibri" w:cs="Times New Roman"/>
        </w:rPr>
        <w:tab/>
      </w:r>
      <w:r>
        <w:rPr>
          <w:rFonts w:eastAsia="Calibri" w:cs="Times New Roman"/>
          <w:strike/>
        </w:rPr>
        <w:t>State Highway</w:t>
      </w:r>
      <w:r>
        <w:rPr>
          <w:rFonts w:eastAsia="Calibri" w:cs="Times New Roman"/>
        </w:rPr>
        <w:t xml:space="preserve">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strike/>
        </w:rPr>
        <w:t>Collected After</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of the State</w:t>
      </w:r>
      <w:r>
        <w:rPr>
          <w:rFonts w:eastAsia="Calibri" w:cs="Times New Roman"/>
        </w:rPr>
        <w:tab/>
      </w:r>
      <w:r>
        <w:rPr>
          <w:rFonts w:eastAsia="Calibri" w:cs="Times New Roman"/>
        </w:rPr>
        <w:tab/>
      </w:r>
      <w:r>
        <w:rPr>
          <w:rFonts w:eastAsia="Calibri" w:cs="Times New Roman"/>
        </w:rPr>
        <w:tab/>
      </w:r>
      <w:r>
        <w:rPr>
          <w:rFonts w:eastAsia="Calibri" w:cs="Times New Roman"/>
          <w:strike/>
        </w:rPr>
        <w:t>Account of the</w:t>
      </w:r>
      <w:r>
        <w:rPr>
          <w:rFonts w:eastAsia="Calibri" w:cs="Times New Roman"/>
        </w:rPr>
        <w:t xml:space="preserve">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South Carolina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Transportation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Infrastructure Bank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strike/>
        </w:rPr>
        <w:t>June 30, 2005</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60 percent</w:t>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40 percent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strike/>
        </w:rPr>
      </w:pPr>
      <w:r>
        <w:rPr>
          <w:rFonts w:eastAsia="Calibri" w:cs="Times New Roman"/>
        </w:rPr>
        <w:tab/>
      </w:r>
      <w:r>
        <w:rPr>
          <w:rFonts w:eastAsia="Calibri" w:cs="Times New Roman"/>
        </w:rPr>
        <w:tab/>
      </w:r>
      <w:r>
        <w:rPr>
          <w:rFonts w:eastAsia="Calibri" w:cs="Times New Roman"/>
          <w:strike/>
        </w:rPr>
        <w:t>June 30, 2006</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20 percent</w:t>
      </w:r>
      <w:r>
        <w:rPr>
          <w:rFonts w:eastAsia="Calibri" w:cs="Times New Roman"/>
        </w:rPr>
        <w:tab/>
      </w:r>
      <w:r>
        <w:rPr>
          <w:rFonts w:eastAsia="Calibri" w:cs="Times New Roman"/>
        </w:rPr>
        <w:tab/>
      </w:r>
      <w:r>
        <w:rPr>
          <w:rFonts w:eastAsia="Calibri" w:cs="Times New Roman"/>
        </w:rPr>
        <w:tab/>
      </w:r>
      <w:r>
        <w:rPr>
          <w:rFonts w:eastAsia="Calibri" w:cs="Times New Roman"/>
          <w:strike/>
        </w:rPr>
        <w:t xml:space="preserve">80 percent </w:t>
      </w: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Calibri" w:cs="Times New Roman"/>
        </w:rPr>
        <w:tab/>
      </w:r>
      <w:r>
        <w:rPr>
          <w:rFonts w:eastAsia="Calibri" w:cs="Times New Roman"/>
        </w:rPr>
        <w:tab/>
      </w:r>
      <w:r>
        <w:rPr>
          <w:rFonts w:eastAsia="Calibri" w:cs="Times New Roman"/>
          <w:strike/>
        </w:rPr>
        <w:t>June 30, 2007</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0 percent</w:t>
      </w:r>
      <w:r>
        <w:rPr>
          <w:rFonts w:eastAsia="Calibri" w:cs="Times New Roman"/>
        </w:rPr>
        <w:tab/>
      </w:r>
      <w:r>
        <w:rPr>
          <w:rFonts w:eastAsia="Calibri" w:cs="Times New Roman"/>
        </w:rPr>
        <w:tab/>
      </w:r>
      <w:r>
        <w:rPr>
          <w:rFonts w:eastAsia="Calibri" w:cs="Times New Roman"/>
        </w:rPr>
        <w:tab/>
      </w:r>
      <w:r>
        <w:rPr>
          <w:rFonts w:eastAsia="Calibri" w:cs="Times New Roman"/>
        </w:rPr>
        <w:tab/>
      </w:r>
      <w:r>
        <w:rPr>
          <w:rFonts w:eastAsia="Calibri" w:cs="Times New Roman"/>
          <w:strike/>
        </w:rPr>
        <w:t>100 percent.</w:t>
      </w:r>
      <w:r>
        <w:rPr>
          <w:rFonts w:cs="Times New Roman"/>
        </w:rPr>
        <w:t>”</w:t>
      </w:r>
    </w:p>
    <w:p w:rsidR="002804F2" w:rsidRDefault="0028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804F2" w:rsidRDefault="0041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2804F2" w:rsidRDefault="00412788" w:rsidP="0093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804F2" w:rsidSect="0041278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4F2" w:rsidRDefault="002804F2" w:rsidP="002804F2">
      <w:r>
        <w:separator/>
      </w:r>
    </w:p>
  </w:endnote>
  <w:endnote w:type="continuationSeparator" w:id="1">
    <w:p w:rsidR="002804F2" w:rsidRDefault="002804F2" w:rsidP="002804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EEC3AA-D481-4842-B672-F264863AD579}"/>
    <w:embedBold r:id="rId2" w:fontKey="{F5F39618-93C4-430C-A6D3-A67B9B6C6F13}"/>
  </w:font>
  <w:font w:name="Calibri">
    <w:panose1 w:val="020F0502020204030204"/>
    <w:charset w:val="00"/>
    <w:family w:val="swiss"/>
    <w:pitch w:val="variable"/>
    <w:sig w:usb0="A00002EF" w:usb1="4000207B" w:usb2="00000000" w:usb3="00000000" w:csb0="0000009F" w:csb1="00000000"/>
    <w:embedRegular r:id="rId3" w:fontKey="{A53FC557-64C2-4169-812B-14D9BC5DD481}"/>
  </w:font>
  <w:font w:name="Tahoma">
    <w:panose1 w:val="020B0604030504040204"/>
    <w:charset w:val="00"/>
    <w:family w:val="swiss"/>
    <w:pitch w:val="variable"/>
    <w:sig w:usb0="61002A87" w:usb1="80000000" w:usb2="00000008" w:usb3="00000000" w:csb0="000101FF" w:csb1="00000000"/>
    <w:embedRegular r:id="rId4" w:fontKey="{6491826E-CFD4-4B6A-B3BA-C6EC4D8D382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81306AF-5E51-455E-8350-1FC245B1BB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4F2" w:rsidRDefault="00412788">
    <w:pPr>
      <w:pStyle w:val="Footer"/>
      <w:tabs>
        <w:tab w:val="clear" w:pos="4680"/>
        <w:tab w:val="clear" w:pos="9360"/>
        <w:tab w:val="center" w:pos="2995"/>
      </w:tabs>
      <w:spacing w:before="120"/>
    </w:pPr>
    <w:r>
      <w:t>[13-</w:t>
    </w:r>
    <w:fldSimple w:instr=" PAGE  \* MERGEFORMAT ">
      <w:r w:rsidR="00935F7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788" w:rsidRDefault="00412788">
    <w:pPr>
      <w:pStyle w:val="Footer"/>
      <w:tabs>
        <w:tab w:val="clear" w:pos="4680"/>
        <w:tab w:val="clear" w:pos="9360"/>
        <w:tab w:val="center" w:pos="2995"/>
      </w:tabs>
      <w:spacing w:before="120"/>
    </w:pPr>
    <w:r>
      <w:t>[13]</w:t>
    </w:r>
    <w:r>
      <w:tab/>
    </w:r>
    <w:fldSimple w:instr=" PAGE  \* MERGEFORMAT ">
      <w:r w:rsidR="00935F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4F2" w:rsidRDefault="002804F2" w:rsidP="002804F2">
      <w:r>
        <w:separator/>
      </w:r>
    </w:p>
  </w:footnote>
  <w:footnote w:type="continuationSeparator" w:id="1">
    <w:p w:rsidR="002804F2" w:rsidRDefault="002804F2" w:rsidP="002804F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804F2"/>
    <w:rsid w:val="000E7F14"/>
    <w:rsid w:val="002804F2"/>
    <w:rsid w:val="00412788"/>
    <w:rsid w:val="00632C10"/>
    <w:rsid w:val="00820BDD"/>
    <w:rsid w:val="00935F72"/>
    <w:rsid w:val="00C15962"/>
    <w:rsid w:val="00C27351"/>
    <w:rsid w:val="00F535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04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804F2"/>
    <w:rPr>
      <w:szCs w:val="21"/>
    </w:rPr>
  </w:style>
  <w:style w:type="character" w:customStyle="1" w:styleId="PlainTextChar">
    <w:name w:val="Plain Text Char"/>
    <w:basedOn w:val="DefaultParagraphFont"/>
    <w:link w:val="PlainText"/>
    <w:uiPriority w:val="99"/>
    <w:rsid w:val="002804F2"/>
    <w:rPr>
      <w:szCs w:val="21"/>
    </w:rPr>
  </w:style>
  <w:style w:type="paragraph" w:styleId="BodyText">
    <w:name w:val="Body Text"/>
    <w:basedOn w:val="Normal"/>
    <w:link w:val="BodyTextChar"/>
    <w:uiPriority w:val="99"/>
    <w:locked/>
    <w:rsid w:val="002804F2"/>
  </w:style>
  <w:style w:type="character" w:customStyle="1" w:styleId="BodyTextChar">
    <w:name w:val="Body Text Char"/>
    <w:basedOn w:val="DefaultParagraphFont"/>
    <w:link w:val="BodyText"/>
    <w:uiPriority w:val="99"/>
    <w:rsid w:val="002804F2"/>
  </w:style>
  <w:style w:type="paragraph" w:styleId="BalloonText">
    <w:name w:val="Balloon Text"/>
    <w:next w:val="Normal"/>
    <w:link w:val="BalloonTextChar"/>
    <w:uiPriority w:val="99"/>
    <w:unhideWhenUsed/>
    <w:rsid w:val="002804F2"/>
    <w:rPr>
      <w:rFonts w:cs="Tahoma"/>
      <w:szCs w:val="16"/>
    </w:rPr>
  </w:style>
  <w:style w:type="character" w:customStyle="1" w:styleId="BalloonTextChar">
    <w:name w:val="Balloon Text Char"/>
    <w:basedOn w:val="DefaultParagraphFont"/>
    <w:link w:val="BalloonText"/>
    <w:uiPriority w:val="99"/>
    <w:rsid w:val="002804F2"/>
    <w:rPr>
      <w:rFonts w:cs="Tahoma"/>
      <w:szCs w:val="16"/>
    </w:rPr>
  </w:style>
  <w:style w:type="paragraph" w:styleId="NormalWeb">
    <w:name w:val="Normal (Web)"/>
    <w:basedOn w:val="Normal"/>
    <w:next w:val="Normal"/>
    <w:semiHidden/>
    <w:locked/>
    <w:rsid w:val="002804F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804F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804F2"/>
    <w:rPr>
      <w:rFonts w:cs="Times New Roman"/>
    </w:rPr>
  </w:style>
  <w:style w:type="character" w:styleId="LineNumber">
    <w:name w:val="line number"/>
    <w:basedOn w:val="DefaultParagraphFont"/>
    <w:uiPriority w:val="99"/>
    <w:semiHidden/>
    <w:unhideWhenUsed/>
    <w:locked/>
    <w:rsid w:val="00412788"/>
  </w:style>
  <w:style w:type="paragraph" w:styleId="Header">
    <w:name w:val="header"/>
    <w:basedOn w:val="Normal"/>
    <w:link w:val="HeaderChar"/>
    <w:uiPriority w:val="99"/>
    <w:semiHidden/>
    <w:unhideWhenUsed/>
    <w:locked/>
    <w:rsid w:val="00412788"/>
    <w:pPr>
      <w:tabs>
        <w:tab w:val="center" w:pos="4680"/>
        <w:tab w:val="right" w:pos="9360"/>
      </w:tabs>
    </w:pPr>
  </w:style>
  <w:style w:type="character" w:customStyle="1" w:styleId="HeaderChar">
    <w:name w:val="Header Char"/>
    <w:basedOn w:val="DefaultParagraphFont"/>
    <w:link w:val="Header"/>
    <w:uiPriority w:val="99"/>
    <w:semiHidden/>
    <w:rsid w:val="00412788"/>
  </w:style>
  <w:style w:type="character" w:styleId="FollowedHyperlink">
    <w:name w:val="FollowedHyperlink"/>
    <w:basedOn w:val="DefaultParagraphFont"/>
    <w:uiPriority w:val="99"/>
    <w:semiHidden/>
    <w:unhideWhenUsed/>
    <w:locked/>
    <w:rsid w:val="00820B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2198</Characters>
  <Application>Microsoft Office Word</Application>
  <DocSecurity>0</DocSecurity>
  <Lines>78</Lines>
  <Paragraphs>31</Paragraphs>
  <ScaleCrop>false</ScaleCrop>
  <Company>Project Management</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2009-04-29T23:52:00Z</dcterms:created>
  <dcterms:modified xsi:type="dcterms:W3CDTF">2009-04-29T23:52:00Z</dcterms:modified>
</cp:coreProperties>
</file>