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3D1"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D643D1"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D643D1">
        <w:rPr>
          <w:rFonts w:eastAsia="Times New Roman" w:cs="Times New Roman"/>
        </w:rPr>
        <w:t>, 2009</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Pr="00D643D1" w:rsidRDefault="00D643D1" w:rsidP="00D643D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155</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sidR="006E0F5E">
        <w:rPr>
          <w:rFonts w:cs="Times New Roman"/>
        </w:rPr>
        <w:t>Senators Campsen, Rose,</w:t>
      </w:r>
      <w:r>
        <w:rPr>
          <w:rFonts w:cs="Times New Roman"/>
        </w:rPr>
        <w:t xml:space="preserve"> Hayes</w:t>
      </w:r>
      <w:r w:rsidR="006E0F5E">
        <w:rPr>
          <w:rFonts w:cs="Times New Roman"/>
        </w:rPr>
        <w:t xml:space="preserve"> and Lourie</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BD187C" w:rsidP="006E0F5E">
      <w:pPr>
        <w:tabs>
          <w:tab w:val="right" w:pos="5933"/>
        </w:tabs>
        <w:suppressAutoHyphens/>
        <w:rPr>
          <w:rFonts w:eastAsia="Times New Roman" w:cs="Times New Roman"/>
        </w:rPr>
      </w:pPr>
      <w:r>
        <w:rPr>
          <w:rFonts w:eastAsia="Times New Roman" w:cs="Times New Roman"/>
        </w:rPr>
        <w:t>S. Printed 2/10</w:t>
      </w:r>
      <w:r w:rsidR="00D643D1">
        <w:rPr>
          <w:rFonts w:eastAsia="Times New Roman" w:cs="Times New Roman"/>
        </w:rPr>
        <w:t>/09--S.</w:t>
      </w:r>
      <w:r w:rsidR="006E0F5E">
        <w:rPr>
          <w:rFonts w:eastAsia="Times New Roman" w:cs="Times New Roman"/>
        </w:rPr>
        <w:tab/>
        <w:t>[SEC 2/11/09 12:26 PM]</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643D1" w:rsidSect="00D64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7, TITLE 20 OF THE 1976 CODE BY ADDING ARTICLE 33 TO ENACT THE “MILITARY PARENT EQUAL PROTECTION ACT”, TO PROVIDE THAT A MILITARY PARENT’S MILITARY SERVICE SHALL NOT BE CONSIDERED A CHANGE IN CIRCUMSTANCE FOR PURPOSES OF CHILD CUSTODY AND VISITATION, TO PROVIDE THAT THE CUSTODIAL NON</w:t>
      </w:r>
      <w:r>
        <w:rPr>
          <w:rFonts w:eastAsia="Times New Roman" w:cs="Times New Roman"/>
          <w:szCs w:val="20"/>
        </w:rPr>
        <w:noBreakHyphen/>
        <w:t>MILITARY PARENT MUST REASONABLY ACCOMMODATE THE MILITARY PARENT’S LEAVE SCHEDULE, TO PROVIDE THAT THE FAMILY COURT MAY HOLD AN EXPEDITED TEMPORARY HEARING TO ENSURE THAT THE MILITARY PARENT HAS ACCESS TO A MINOR CHILD, AND TO PROVIDE THAT ANY INCREASE OR DECREASE IN EARNING CAPACITY DUE TO MILITARY SERVICE IS NOT CONSIDERED A PERMANENT CHANGE; AND TO AMEND CHAPTER 1, TITLE 15, BY ADDING SECTION 15</w:t>
      </w:r>
      <w:r>
        <w:rPr>
          <w:rFonts w:eastAsia="Times New Roman" w:cs="Times New Roman"/>
          <w:szCs w:val="20"/>
        </w:rPr>
        <w:noBreakHyphen/>
        <w:t>1</w:t>
      </w:r>
      <w:r>
        <w:rPr>
          <w:rFonts w:eastAsia="Times New Roman" w:cs="Times New Roman"/>
          <w:szCs w:val="20"/>
        </w:rPr>
        <w:noBreakHyphen/>
        <w:t>340, TO PROVIDE THAT A SERVICE MEMBER ENTITLED TO A STAY PURSUANT TO THE SERVICE MEMBERS CIVIL RELIEF ACT MAY SEEK RELIEF AND PROVIDE TESTIMONY BY ELECTRONIC MEANS UNDER CERTAIN CONDITIONS.</w:t>
      </w:r>
    </w:p>
    <w:p w:rsidR="00BD187C"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SECTION</w:t>
      </w:r>
      <w:r w:rsidRPr="00902CE1">
        <w:rPr>
          <w:rFonts w:cs="Times New Roman"/>
        </w:rPr>
        <w:tab/>
        <w:t>1.</w:t>
      </w:r>
      <w:r w:rsidRPr="00902CE1">
        <w:rPr>
          <w:rFonts w:cs="Times New Roman"/>
        </w:rPr>
        <w:tab/>
        <w:t>Chapter 5, Title 63 of the 1976 Code is amended by adding:</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902CE1">
        <w:rPr>
          <w:rFonts w:cs="Times New Roman"/>
        </w:rPr>
        <w:t>“Article 7</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902CE1">
        <w:rPr>
          <w:rFonts w:cs="Times New Roman"/>
        </w:rPr>
        <w:t>Military Parent Equal Protection Act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Section 63</w:t>
      </w:r>
      <w:r w:rsidRPr="00902CE1">
        <w:rPr>
          <w:rFonts w:cs="Times New Roman"/>
        </w:rPr>
        <w:noBreakHyphen/>
        <w:t>5</w:t>
      </w:r>
      <w:r w:rsidRPr="00902CE1">
        <w:rPr>
          <w:rFonts w:cs="Times New Roman"/>
        </w:rPr>
        <w:noBreakHyphen/>
        <w:t>900.</w:t>
      </w:r>
      <w:r w:rsidRPr="00902CE1">
        <w:rPr>
          <w:rFonts w:cs="Times New Roman"/>
        </w:rPr>
        <w:tab/>
      </w:r>
      <w:r w:rsidRPr="00902CE1">
        <w:rPr>
          <w:rFonts w:cs="Times New Roman"/>
        </w:rPr>
        <w:tab/>
        <w:t>This article may be cited as the ‘Military Parent Equal Protection Act’.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910.</w:t>
      </w:r>
      <w:r w:rsidRPr="00902CE1">
        <w:rPr>
          <w:rFonts w:cs="Times New Roman"/>
        </w:rPr>
        <w:tab/>
        <w:t>For purposes of this article: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(A)(1)</w:t>
      </w:r>
      <w:r w:rsidRPr="00902CE1">
        <w:rPr>
          <w:rFonts w:cs="Times New Roman"/>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r>
      <w:r w:rsidRPr="00902CE1">
        <w:rPr>
          <w:rFonts w:cs="Times New Roman"/>
        </w:rPr>
        <w:tab/>
        <w:t>(2)</w:t>
      </w:r>
      <w:r w:rsidRPr="00902CE1">
        <w:rPr>
          <w:rFonts w:cs="Times New Roman"/>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‘Military service or service’ includes a period during which a military parent remains subject to deployment orders and remains deployed on account of sickness, wounds, leave, or other lawful cause.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‘Military parent’ means a natural parent or adoptive parent of a child under the age of eighteen whose parental rights have not been terminated by a court of competent jurisdiction.</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920.</w:t>
      </w:r>
      <w:r w:rsidRPr="00902CE1">
        <w:rPr>
          <w:rFonts w:cs="Times New Roman"/>
        </w:rPr>
        <w:tab/>
      </w:r>
      <w:r w:rsidRPr="00902CE1">
        <w:rPr>
          <w:rFonts w:cs="Times New Roman"/>
        </w:rPr>
        <w:tab/>
        <w:t>(A)</w:t>
      </w:r>
      <w:r w:rsidRPr="00902CE1">
        <w:rPr>
          <w:rFonts w:cs="Times New Roman"/>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(C)</w:t>
      </w:r>
      <w:r w:rsidRPr="00902CE1">
        <w:rPr>
          <w:rFonts w:cs="Times New Roman"/>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(D)</w:t>
      </w:r>
      <w:r w:rsidRPr="00902CE1">
        <w:rPr>
          <w:rFonts w:cs="Times New Roman"/>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930.</w:t>
      </w:r>
      <w:r w:rsidRPr="00902CE1">
        <w:rPr>
          <w:rFonts w:cs="Times New Roman"/>
        </w:rPr>
        <w:tab/>
      </w:r>
      <w:r w:rsidRPr="00902CE1">
        <w:rPr>
          <w:rFonts w:cs="Times New Roman"/>
        </w:rPr>
        <w:tab/>
        <w:t>(A)</w:t>
      </w:r>
      <w:r w:rsidRPr="00902CE1">
        <w:rPr>
          <w:rFonts w:cs="Times New Roman"/>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(C)</w:t>
      </w:r>
      <w:r w:rsidRPr="00902CE1">
        <w:rPr>
          <w:rFonts w:cs="Times New Roman"/>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(D)</w:t>
      </w:r>
      <w:r w:rsidRPr="00902CE1">
        <w:rPr>
          <w:rFonts w:cs="Times New Roman"/>
        </w:rPr>
        <w:tab/>
        <w:t>Except for modifying a child support obligation during military service pursuant to this section, a military parent’s income during military service must not be used to determine the military parent’s income or earning capacity.</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940.</w:t>
      </w:r>
      <w:r w:rsidRPr="00902CE1">
        <w:rPr>
          <w:rFonts w:cs="Times New Roman"/>
        </w:rPr>
        <w:tab/>
      </w:r>
      <w:r w:rsidRPr="00902CE1">
        <w:rPr>
          <w:rFonts w:cs="Times New Roman"/>
        </w:rPr>
        <w:tab/>
        <w:t>(A)</w:t>
      </w:r>
      <w:r w:rsidRPr="00902CE1">
        <w:rPr>
          <w:rFonts w:cs="Times New Roman"/>
        </w:rPr>
        <w:tab/>
        <w:t>Military necessity may preclude court adjudication before mobilization, and the parties are encouraged to negotiate mutually agreeable arrangements prior to mobilization.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(C)</w:t>
      </w:r>
      <w:r w:rsidRPr="00902CE1">
        <w:rPr>
          <w:rFonts w:cs="Times New Roman"/>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950.</w:t>
      </w:r>
      <w:r w:rsidRPr="00902CE1">
        <w:rPr>
          <w:rFonts w:cs="Times New Roman"/>
        </w:rPr>
        <w:tab/>
      </w:r>
      <w:r w:rsidRPr="00902CE1">
        <w:rPr>
          <w:rFonts w:cs="Times New Roman"/>
        </w:rPr>
        <w:tab/>
        <w:t>In making determinations pursuant to this article, the court may award attorney’s fees and costs based on the court’s consideration of:</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(1)</w:t>
      </w:r>
      <w:r w:rsidRPr="00902CE1">
        <w:rPr>
          <w:rFonts w:cs="Times New Roman"/>
        </w:rPr>
        <w:tab/>
        <w:t>the failure of either party to reasonably accommodate the other party in custody, visitation, and support matters related to a military parent’s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(2)</w:t>
      </w:r>
      <w:r w:rsidRPr="00902CE1">
        <w:rPr>
          <w:rFonts w:cs="Times New Roman"/>
        </w:rPr>
        <w:tab/>
        <w:t>unreasonable delay caused by either party in resolving custody, visitation, and support matters related to a military parent’s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(3)</w:t>
      </w:r>
      <w:r w:rsidRPr="00902CE1">
        <w:rPr>
          <w:rFonts w:cs="Times New Roman"/>
        </w:rPr>
        <w:tab/>
        <w:t>failure of either party to timely provide income and earnings information to the other party; and</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(4)</w:t>
      </w:r>
      <w:r w:rsidRPr="00902CE1">
        <w:rPr>
          <w:rFonts w:cs="Times New Roman"/>
        </w:rPr>
        <w:tab/>
        <w:t>other factors as the court may consider appropriate and as may be required by law.”</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SECTION</w:t>
      </w:r>
      <w:r w:rsidRPr="00902CE1">
        <w:rPr>
          <w:rFonts w:cs="Times New Roman"/>
        </w:rPr>
        <w:tab/>
        <w:t>2.</w:t>
      </w:r>
      <w:r w:rsidRPr="00902CE1">
        <w:rPr>
          <w:rFonts w:cs="Times New Roman"/>
        </w:rPr>
        <w:tab/>
        <w:t>Chapter 1, Title 15 of the 1976 Code is amended by adding:</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15</w:t>
      </w:r>
      <w:r w:rsidRPr="00902CE1">
        <w:rPr>
          <w:rFonts w:cs="Times New Roman"/>
        </w:rPr>
        <w:noBreakHyphen/>
        <w:t>1</w:t>
      </w:r>
      <w:r w:rsidRPr="00902CE1">
        <w:rPr>
          <w:rFonts w:cs="Times New Roman"/>
        </w:rPr>
        <w:noBreakHyphen/>
        <w:t>340.</w:t>
      </w:r>
      <w:r w:rsidRPr="00902CE1">
        <w:rPr>
          <w:rFonts w:cs="Times New Roman"/>
        </w:rPr>
        <w:tab/>
      </w:r>
      <w:r w:rsidRPr="00902CE1">
        <w:rPr>
          <w:rFonts w:cs="Times New Roman"/>
        </w:rPr>
        <w:tab/>
        <w:t>(A)</w:t>
      </w:r>
      <w:r w:rsidRPr="00902CE1">
        <w:rPr>
          <w:rFonts w:cs="Times New Roman"/>
        </w:rPr>
        <w:tab/>
        <w:t xml:space="preserve">A service member who is entitled to a stay in civil proceedings pursuant to the Service Members Civil </w:t>
      </w:r>
      <w:r w:rsidRPr="00902CE1">
        <w:rPr>
          <w:rFonts w:cs="Times New Roman"/>
        </w:rPr>
        <w:lastRenderedPageBreak/>
        <w:t>Relief Act, 50 U.S.C. App. Section 501, et seq. may elect to proceed while the service member is reasonably unavailable to appear in the geographical location in which the litigation is pursued and may seek relief and provide evidence through video</w:t>
      </w:r>
      <w:r w:rsidRPr="00902CE1">
        <w:rPr>
          <w:rFonts w:cs="Times New Roman"/>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r w:rsidRPr="00902CE1">
        <w:rPr>
          <w:rFonts w:cs="Times New Roman"/>
        </w:rPr>
        <w:tab/>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7C4053"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902CE1">
        <w:rPr>
          <w:rFonts w:cs="Times New Roman"/>
        </w:rPr>
        <w:t>SECTION</w:t>
      </w:r>
      <w:r w:rsidRPr="00902CE1">
        <w:rPr>
          <w:rFonts w:cs="Times New Roman"/>
        </w:rPr>
        <w:tab/>
        <w:t>3.</w:t>
      </w:r>
      <w:r w:rsidRPr="00902CE1">
        <w:rPr>
          <w:rFonts w:cs="Times New Roman"/>
        </w:rPr>
        <w:tab/>
        <w:t>This act takes effect upon approval by the Governor.</w:t>
      </w:r>
    </w:p>
    <w:p w:rsidR="007C4053" w:rsidRDefault="00D643D1" w:rsidP="004E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C4053" w:rsidSect="00D64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053" w:rsidRDefault="007C4053" w:rsidP="007C4053">
      <w:r>
        <w:separator/>
      </w:r>
    </w:p>
  </w:endnote>
  <w:endnote w:type="continuationSeparator" w:id="1">
    <w:p w:rsidR="007C4053" w:rsidRDefault="007C4053" w:rsidP="007C40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BA913D-3882-4069-AB73-370C64A6EF55}"/>
    <w:embedBold r:id="rId2" w:fontKey="{619AC6E5-CDB6-44B0-885E-7DE238B37ADF}"/>
  </w:font>
  <w:font w:name="Calibri">
    <w:panose1 w:val="020F0502020204030204"/>
    <w:charset w:val="00"/>
    <w:family w:val="swiss"/>
    <w:pitch w:val="variable"/>
    <w:sig w:usb0="A00002EF" w:usb1="4000207B" w:usb2="00000000" w:usb3="00000000" w:csb0="0000009F" w:csb1="00000000"/>
    <w:embedRegular r:id="rId3" w:fontKey="{4CA28A22-15FF-4473-8B02-B25769A59570}"/>
  </w:font>
  <w:font w:name="Tahoma">
    <w:panose1 w:val="020B0604030504040204"/>
    <w:charset w:val="00"/>
    <w:family w:val="swiss"/>
    <w:pitch w:val="variable"/>
    <w:sig w:usb0="61002A87" w:usb1="80000000" w:usb2="00000008" w:usb3="00000000" w:csb0="000101FF" w:csb1="00000000"/>
    <w:embedRegular r:id="rId4" w:fontKey="{2E7C4FBC-1852-44FD-8D26-A568D72E2E9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300A320-BBE6-4EDD-9D65-4FBD6641BE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53" w:rsidRDefault="00D643D1">
    <w:pPr>
      <w:pStyle w:val="Footer"/>
      <w:tabs>
        <w:tab w:val="clear" w:pos="4680"/>
        <w:tab w:val="clear" w:pos="9360"/>
        <w:tab w:val="center" w:pos="2995"/>
      </w:tabs>
      <w:spacing w:before="120"/>
    </w:pPr>
    <w:r>
      <w:t>[155-</w:t>
    </w:r>
    <w:fldSimple w:instr=" PAGE  \* MERGEFORMAT ">
      <w:r w:rsidR="004E55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D1" w:rsidRDefault="00D643D1">
    <w:pPr>
      <w:pStyle w:val="Footer"/>
      <w:tabs>
        <w:tab w:val="clear" w:pos="4680"/>
        <w:tab w:val="clear" w:pos="9360"/>
        <w:tab w:val="center" w:pos="2995"/>
      </w:tabs>
      <w:spacing w:before="120"/>
    </w:pPr>
    <w:r>
      <w:t>[155]</w:t>
    </w:r>
    <w:r>
      <w:tab/>
    </w:r>
    <w:fldSimple w:instr=" PAGE  \* MERGEFORMAT ">
      <w:r w:rsidR="004E55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053" w:rsidRDefault="007C4053" w:rsidP="007C4053">
      <w:r>
        <w:separator/>
      </w:r>
    </w:p>
  </w:footnote>
  <w:footnote w:type="continuationSeparator" w:id="1">
    <w:p w:rsidR="007C4053" w:rsidRDefault="007C4053" w:rsidP="007C40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4053"/>
    <w:rsid w:val="00063736"/>
    <w:rsid w:val="001224FB"/>
    <w:rsid w:val="00431A83"/>
    <w:rsid w:val="004E55D7"/>
    <w:rsid w:val="006E0F5E"/>
    <w:rsid w:val="00712629"/>
    <w:rsid w:val="007C4053"/>
    <w:rsid w:val="00807FBC"/>
    <w:rsid w:val="008C4948"/>
    <w:rsid w:val="00BD187C"/>
    <w:rsid w:val="00D64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40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4053"/>
    <w:rPr>
      <w:szCs w:val="21"/>
    </w:rPr>
  </w:style>
  <w:style w:type="character" w:customStyle="1" w:styleId="PlainTextChar">
    <w:name w:val="Plain Text Char"/>
    <w:basedOn w:val="DefaultParagraphFont"/>
    <w:link w:val="PlainText"/>
    <w:uiPriority w:val="99"/>
    <w:rsid w:val="007C4053"/>
    <w:rPr>
      <w:szCs w:val="21"/>
    </w:rPr>
  </w:style>
  <w:style w:type="paragraph" w:styleId="BodyText">
    <w:name w:val="Body Text"/>
    <w:basedOn w:val="Normal"/>
    <w:link w:val="BodyTextChar"/>
    <w:uiPriority w:val="99"/>
    <w:locked/>
    <w:rsid w:val="007C4053"/>
  </w:style>
  <w:style w:type="character" w:customStyle="1" w:styleId="BodyTextChar">
    <w:name w:val="Body Text Char"/>
    <w:basedOn w:val="DefaultParagraphFont"/>
    <w:link w:val="BodyText"/>
    <w:uiPriority w:val="99"/>
    <w:rsid w:val="007C4053"/>
  </w:style>
  <w:style w:type="paragraph" w:styleId="BalloonText">
    <w:name w:val="Balloon Text"/>
    <w:next w:val="Normal"/>
    <w:link w:val="BalloonTextChar"/>
    <w:uiPriority w:val="99"/>
    <w:unhideWhenUsed/>
    <w:rsid w:val="007C4053"/>
    <w:rPr>
      <w:rFonts w:cs="Tahoma"/>
      <w:szCs w:val="16"/>
    </w:rPr>
  </w:style>
  <w:style w:type="character" w:customStyle="1" w:styleId="BalloonTextChar">
    <w:name w:val="Balloon Text Char"/>
    <w:basedOn w:val="DefaultParagraphFont"/>
    <w:link w:val="BalloonText"/>
    <w:uiPriority w:val="99"/>
    <w:rsid w:val="007C4053"/>
    <w:rPr>
      <w:rFonts w:cs="Tahoma"/>
      <w:szCs w:val="16"/>
    </w:rPr>
  </w:style>
  <w:style w:type="paragraph" w:styleId="NormalWeb">
    <w:name w:val="Normal (Web)"/>
    <w:basedOn w:val="Normal"/>
    <w:next w:val="Normal"/>
    <w:semiHidden/>
    <w:locked/>
    <w:rsid w:val="007C40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C405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C4053"/>
    <w:rPr>
      <w:rFonts w:cs="Times New Roman"/>
    </w:rPr>
  </w:style>
  <w:style w:type="character" w:styleId="LineNumber">
    <w:name w:val="line number"/>
    <w:basedOn w:val="DefaultParagraphFont"/>
    <w:uiPriority w:val="99"/>
    <w:semiHidden/>
    <w:unhideWhenUsed/>
    <w:locked/>
    <w:rsid w:val="00D643D1"/>
  </w:style>
  <w:style w:type="paragraph" w:styleId="Header">
    <w:name w:val="header"/>
    <w:basedOn w:val="Normal"/>
    <w:link w:val="HeaderChar"/>
    <w:unhideWhenUsed/>
    <w:locked/>
    <w:rsid w:val="00D643D1"/>
    <w:pPr>
      <w:tabs>
        <w:tab w:val="center" w:pos="4680"/>
        <w:tab w:val="right" w:pos="9360"/>
      </w:tabs>
    </w:pPr>
  </w:style>
  <w:style w:type="character" w:customStyle="1" w:styleId="HeaderChar">
    <w:name w:val="Header Char"/>
    <w:basedOn w:val="DefaultParagraphFont"/>
    <w:link w:val="Header"/>
    <w:rsid w:val="00D643D1"/>
  </w:style>
  <w:style w:type="character" w:styleId="FollowedHyperlink">
    <w:name w:val="FollowedHyperlink"/>
    <w:basedOn w:val="DefaultParagraphFont"/>
    <w:uiPriority w:val="99"/>
    <w:semiHidden/>
    <w:unhideWhenUsed/>
    <w:locked/>
    <w:rsid w:val="00807F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9B09E-F039-4E86-8410-FA1E23DE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1444</Words>
  <Characters>8236</Characters>
  <Application>Microsoft Office Word</Application>
  <DocSecurity>0</DocSecurity>
  <Lines>68</Lines>
  <Paragraphs>19</Paragraphs>
  <ScaleCrop>false</ScaleCrop>
  <Company>Project Management</Company>
  <LinksUpToDate>false</LinksUpToDate>
  <CharactersWithSpaces>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2009-02-11T17:27:00Z</dcterms:created>
  <dcterms:modified xsi:type="dcterms:W3CDTF">2009-02-11T17:27:00Z</dcterms:modified>
</cp:coreProperties>
</file>