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59</w:t>
      </w:r>
      <w:r>
        <w:rPr>
          <w:rFonts w:eastAsia="Times New Roman" w:cs="Times New Roman"/>
        </w:rPr>
        <w:noBreakHyphen/>
        <w:t>20</w:t>
      </w:r>
      <w:r>
        <w:rPr>
          <w:rFonts w:eastAsia="Times New Roman" w:cs="Times New Roman"/>
        </w:rPr>
        <w:noBreakHyphen/>
        <w:t>20, CODE OF LAWS OF SOUTH CAROLINA, 1976, RELATING TO THE INDEX OF TAXPAYING ABILITY, TO ALLOW ERRORS MADE IN DETERMINING THE INDEX TO BE CORRECTED IN THE PERIOD AFTER FEBRUARY FIRST UNTIL MAY FIRST.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59</w:t>
      </w:r>
      <w:r>
        <w:rPr>
          <w:rFonts w:eastAsia="Times New Roman" w:cs="Times New Roman"/>
        </w:rPr>
        <w:noBreakHyphen/>
        <w:t>20</w:t>
      </w:r>
      <w:r>
        <w:rPr>
          <w:rFonts w:eastAsia="Times New Roman" w:cs="Times New Roman"/>
        </w:rPr>
        <w:noBreakHyphen/>
        <w:t>20(3)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“(3)</w:t>
      </w:r>
      <w:r>
        <w:rPr>
          <w:rFonts w:eastAsia="Times New Roman" w:cs="Times New Roman"/>
        </w:rPr>
        <w:tab/>
        <w:t>‘</w:t>
      </w:r>
      <w:r>
        <w:rPr>
          <w:rFonts w:eastAsia="Times New Roman" w:cs="Times New Roman"/>
          <w:szCs w:val="24"/>
        </w:rPr>
        <w:t>Index of taxpaying ability’ means an index of a local district’s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rFonts w:eastAsia="Times New Roman" w:cs="Times New Roman"/>
          <w:szCs w:val="24"/>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Pr>
          <w:rFonts w:eastAsia="Times New Roman" w:cs="Times New Roman"/>
          <w:szCs w:val="24"/>
        </w:rPr>
        <w:noBreakHyphen/>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Times New Roman" w:cs="Times New Roman"/>
          <w:szCs w:val="24"/>
        </w:rPr>
        <w:noBreakHyphen/>
        <w:t xml:space="preserve">874, the Department of Revenue shall exclude an imputed value of impact aid receipts from the index of taxpaying 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The index must be determined annually by the Department of Revenue from sales ratio data based on the most recent studies made which correspond with the base year assessments used to compute the current index pursuant to Section 12</w:t>
      </w:r>
      <w:r>
        <w:rPr>
          <w:rFonts w:eastAsia="Times New Roman" w:cs="Times New Roman"/>
          <w:szCs w:val="24"/>
        </w:rPr>
        <w:noBreakHyphen/>
        <w:t>43</w:t>
      </w:r>
      <w:r>
        <w:rPr>
          <w:rFonts w:eastAsia="Times New Roman" w:cs="Times New Roman"/>
          <w:szCs w:val="24"/>
        </w:rPr>
        <w:noBreakHyphen/>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w:t>
      </w:r>
      <w:r>
        <w:rPr>
          <w:rFonts w:eastAsia="Times New Roman" w:cs="Times New Roman"/>
          <w:strike/>
          <w:szCs w:val="24"/>
        </w:rPr>
        <w:t xml:space="preserve"> but no change is allowed after that date</w:t>
      </w:r>
      <w:r>
        <w:rPr>
          <w:rFonts w:eastAsia="Times New Roman" w:cs="Times New Roman"/>
          <w:szCs w:val="24"/>
        </w:rPr>
        <w:t xml:space="preserve">.  </w:t>
      </w:r>
      <w:r>
        <w:rPr>
          <w:rFonts w:eastAsia="Times New Roman" w:cs="Times New Roman"/>
          <w:szCs w:val="24"/>
          <w:u w:val="single"/>
        </w:rPr>
        <w:t>From February first until May first, changes or corrections may only be made to the index to correct errors which the Department of Revenue committed in determining the index.  No changes are allowed after May first.</w:t>
      </w:r>
      <w:r>
        <w:rPr>
          <w:rFonts w:eastAsia="Times New Roman" w:cs="Times New Roman"/>
          <w:szCs w:val="24"/>
        </w:rPr>
        <w:t xml:space="preserve">  When the assessment of property is under appeal and the appeal extends beyond the year in which the assessment made pursuant to Section 12</w:t>
      </w:r>
      <w:r>
        <w:rPr>
          <w:rFonts w:eastAsia="Times New Roman" w:cs="Times New Roman"/>
          <w:szCs w:val="24"/>
        </w:rPr>
        <w:noBreakHyphen/>
        <w:t>43</w:t>
      </w:r>
      <w:r>
        <w:rPr>
          <w:rFonts w:eastAsia="Times New Roman" w:cs="Times New Roman"/>
          <w:szCs w:val="24"/>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Times New Roman" w:cs="Times New Roman"/>
          <w:szCs w:val="24"/>
        </w:rPr>
        <w:noBreakHyphen/>
        <w:t>39</w:t>
      </w:r>
      <w:r>
        <w:rPr>
          <w:rFonts w:eastAsia="Times New Roman" w:cs="Times New Roman"/>
          <w:szCs w:val="24"/>
        </w:rPr>
        <w:noBreakHyphen/>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The index of taxpaying ability for a particular current year shall not include the assessed value of property in a school district which is classified under Section 12</w:t>
      </w:r>
      <w:r>
        <w:rPr>
          <w:rFonts w:eastAsia="Times New Roman" w:cs="Times New Roman"/>
          <w:szCs w:val="24"/>
        </w:rPr>
        <w:noBreakHyphen/>
        <w:t>43</w:t>
      </w:r>
      <w:r>
        <w:rPr>
          <w:rFonts w:eastAsia="Times New Roman" w:cs="Times New Roman"/>
          <w:szCs w:val="24"/>
        </w:rPr>
        <w:noBreakHyphen/>
        <w:t>220(a) and Section 12</w:t>
      </w:r>
      <w:r>
        <w:rPr>
          <w:rFonts w:eastAsia="Times New Roman" w:cs="Times New Roman"/>
          <w:szCs w:val="24"/>
        </w:rPr>
        <w:noBreakHyphen/>
        <w:t>43</w:t>
      </w:r>
      <w:r>
        <w:rPr>
          <w:rFonts w:eastAsia="Times New Roman" w:cs="Times New Roman"/>
          <w:szCs w:val="24"/>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A15FB1-EDD6-40FD-B9AC-5EFC1695336A}"/>
    <w:embedBold r:id="rId2" w:fontKey="{F09566C4-5F82-49C2-95E4-9DE55617F85F}"/>
  </w:font>
  <w:font w:name="Calibri">
    <w:panose1 w:val="020F0502020204030204"/>
    <w:charset w:val="00"/>
    <w:family w:val="swiss"/>
    <w:pitch w:val="variable"/>
    <w:sig w:usb0="A00002EF" w:usb1="4000207B" w:usb2="00000000" w:usb3="00000000" w:csb0="0000009F" w:csb1="00000000"/>
    <w:embedRegular r:id="rId3" w:fontKey="{27FD0192-5A64-46AF-B102-8E1BE8A428DE}"/>
  </w:font>
  <w:font w:name="Tahoma">
    <w:panose1 w:val="020B0604030504040204"/>
    <w:charset w:val="00"/>
    <w:family w:val="swiss"/>
    <w:pitch w:val="variable"/>
    <w:sig w:usb0="61002A87" w:usb1="80000000" w:usb2="00000008" w:usb3="00000000" w:csb0="000101FF" w:csb1="00000000"/>
    <w:embedRegular r:id="rId4" w:fontKey="{7C2EBA0F-8BCF-46E0-BB92-287A1F14714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E4D3CCBC-E25F-4E86-863A-C07C9A800C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[181]</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1078</Words>
  <Characters>6145</Characters>
  <Application>Microsoft Office Word</Application>
  <DocSecurity>0</DocSecurity>
  <Lines>51</Lines>
  <Paragraphs>14</Paragraphs>
  <ScaleCrop>false</ScaleCrop>
  <Company>Project Management</Company>
  <LinksUpToDate>false</LinksUpToDate>
  <CharactersWithSpaces>7209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2008-12-17T19:34:00Z</dcterms:created>
  <dcterms:modified xsi:type="dcterms:W3CDTF">2008-12-17T19:34:00Z</dcterms:modified>
</cp:coreProperties>
</file>