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E945AC" w:rsidRP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4, 2009</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45AC" w:rsidRPr="00E945AC" w:rsidRDefault="00E945AC" w:rsidP="00E945AC">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186</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45AC"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Campsen</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3/4/09--S.</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E945AC" w:rsidRPr="00E945AC"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45AC" w:rsidRPr="00E945AC"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186) </w:t>
      </w:r>
      <w:r w:rsidRPr="00E945AC">
        <w:rPr>
          <w:rFonts w:cs="Times New Roman"/>
        </w:rPr>
        <w:t>to amend Section 15</w:t>
      </w:r>
      <w:r w:rsidRPr="00E945AC">
        <w:rPr>
          <w:rFonts w:cs="Times New Roman"/>
        </w:rPr>
        <w:noBreakHyphen/>
        <w:t>77</w:t>
      </w:r>
      <w:r w:rsidRPr="00E945AC">
        <w:rPr>
          <w:rFonts w:cs="Times New Roman"/>
        </w:rPr>
        <w:noBreakHyphen/>
        <w:t>300, Code of Laws of South Carolina, 1976, relating to allowance of attorney’s fees in state</w:t>
      </w:r>
      <w:r w:rsidRPr="00E945AC">
        <w:rPr>
          <w:rFonts w:cs="Times New Roman"/>
        </w:rPr>
        <w:noBreakHyphen/>
        <w:t xml:space="preserve">initiated </w:t>
      </w:r>
      <w:r>
        <w:rPr>
          <w:rFonts w:cs="Times New Roman"/>
        </w:rPr>
        <w:t>a</w:t>
      </w:r>
      <w:r w:rsidRPr="00E945AC">
        <w:rPr>
          <w:rFonts w:cs="Times New Roman"/>
        </w:rPr>
        <w:t>ctions, so as to</w:t>
      </w:r>
      <w:r>
        <w:rPr>
          <w:rFonts w:eastAsia="Times New Roman" w:cs="Times New Roman"/>
        </w:rPr>
        <w:t>, etc., respectfully</w:t>
      </w:r>
    </w:p>
    <w:p w:rsidR="00E945AC" w:rsidRPr="00E945AC"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45AC" w:rsidRPr="00770F7A"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770F7A">
        <w:rPr>
          <w:rFonts w:eastAsia="Times New Roman" w:cs="Times New Roman"/>
          <w:snapToGrid w:val="0"/>
          <w:szCs w:val="20"/>
        </w:rPr>
        <w:t>Amend the bill as and if amended, page 1, by striking line 30 in its entirety and inserting:</w:t>
      </w:r>
    </w:p>
    <w:p w:rsidR="00E945AC" w:rsidRPr="00770F7A"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napToGrid w:val="0"/>
          <w:szCs w:val="20"/>
        </w:rPr>
        <w:tab/>
      </w:r>
      <w:r w:rsidRPr="00770F7A">
        <w:rPr>
          <w:rFonts w:eastAsia="Times New Roman" w:cs="Times New Roman"/>
          <w:snapToGrid w:val="0"/>
          <w:szCs w:val="20"/>
        </w:rPr>
        <w:t>/</w:t>
      </w:r>
      <w:r w:rsidRPr="00770F7A">
        <w:rPr>
          <w:rFonts w:eastAsia="Times New Roman" w:cs="Times New Roman"/>
          <w:snapToGrid w:val="0"/>
          <w:szCs w:val="20"/>
        </w:rPr>
        <w:tab/>
      </w:r>
      <w:r w:rsidRPr="00770F7A">
        <w:rPr>
          <w:rFonts w:eastAsia="Times New Roman" w:cs="Times New Roman"/>
          <w:szCs w:val="20"/>
        </w:rPr>
        <w:t>substantial justification in pressing its claim</w:t>
      </w:r>
      <w:r w:rsidRPr="00770F7A">
        <w:rPr>
          <w:rFonts w:eastAsia="Times New Roman" w:cs="Times New Roman"/>
          <w:szCs w:val="20"/>
        </w:rPr>
        <w:tab/>
        <w:t xml:space="preserve"> </w:t>
      </w:r>
      <w:r w:rsidRPr="00770F7A">
        <w:rPr>
          <w:rFonts w:eastAsia="Times New Roman" w:cs="Times New Roman"/>
          <w:szCs w:val="20"/>
        </w:rPr>
        <w:tab/>
        <w:t>/</w:t>
      </w:r>
    </w:p>
    <w:p w:rsidR="00E945AC" w:rsidRPr="00770F7A"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70F7A">
        <w:rPr>
          <w:rFonts w:eastAsia="Times New Roman" w:cs="Times New Roman"/>
          <w:szCs w:val="20"/>
        </w:rPr>
        <w:t>Amend the bill further, as and if amended, page 1, by striking lines 35</w:t>
      </w:r>
      <w:r w:rsidRPr="00770F7A">
        <w:rPr>
          <w:rFonts w:eastAsia="Times New Roman" w:cs="Times New Roman"/>
          <w:szCs w:val="20"/>
        </w:rPr>
        <w:noBreakHyphen/>
        <w:t>36 in their entirety and inserting:</w:t>
      </w:r>
    </w:p>
    <w:p w:rsidR="00E945AC" w:rsidRPr="00770F7A"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70F7A">
        <w:rPr>
          <w:rFonts w:eastAsia="Times New Roman" w:cs="Times New Roman"/>
          <w:szCs w:val="20"/>
        </w:rPr>
        <w:t>/</w:t>
      </w:r>
      <w:r w:rsidRPr="00770F7A">
        <w:rPr>
          <w:rFonts w:eastAsia="Times New Roman" w:cs="Times New Roman"/>
          <w:szCs w:val="20"/>
        </w:rPr>
        <w:tab/>
      </w:r>
      <w:r w:rsidRPr="00770F7A">
        <w:rPr>
          <w:rFonts w:eastAsia="Times New Roman" w:cs="Times New Roman"/>
          <w:szCs w:val="20"/>
          <w:u w:val="single"/>
        </w:rPr>
        <w:t>claim against the party if the agency follows a statutory or constitutional mandate that has not been invalidated by a court of competent</w:t>
      </w:r>
      <w:r w:rsidRPr="00770F7A">
        <w:rPr>
          <w:rFonts w:eastAsia="Times New Roman" w:cs="Times New Roman"/>
          <w:szCs w:val="20"/>
        </w:rPr>
        <w:tab/>
      </w:r>
      <w:r w:rsidRPr="00770F7A">
        <w:rPr>
          <w:rFonts w:eastAsia="Times New Roman" w:cs="Times New Roman"/>
          <w:szCs w:val="20"/>
        </w:rPr>
        <w:tab/>
        <w:t>/</w:t>
      </w:r>
    </w:p>
    <w:p w:rsidR="00E945AC" w:rsidRPr="00770F7A"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70F7A">
        <w:rPr>
          <w:rFonts w:eastAsia="Times New Roman" w:cs="Times New Roman"/>
          <w:szCs w:val="20"/>
        </w:rPr>
        <w:t>Amend the bill further, as and if amended, page 2, by striking line 3 in its entirety and inserting:</w:t>
      </w:r>
    </w:p>
    <w:p w:rsidR="00E945AC" w:rsidRPr="00770F7A"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sidRPr="00770F7A">
        <w:rPr>
          <w:rFonts w:eastAsia="Times New Roman" w:cs="Times New Roman"/>
          <w:szCs w:val="20"/>
        </w:rPr>
        <w:t>/</w:t>
      </w:r>
      <w:r w:rsidRPr="00770F7A">
        <w:rPr>
          <w:rFonts w:eastAsia="Times New Roman" w:cs="Times New Roman"/>
          <w:szCs w:val="20"/>
        </w:rPr>
        <w:tab/>
      </w:r>
      <w:r w:rsidRPr="00770F7A">
        <w:rPr>
          <w:rFonts w:eastAsia="Times New Roman" w:cs="Times New Roman"/>
          <w:szCs w:val="20"/>
          <w:u w:val="single"/>
        </w:rPr>
        <w:t>(5)</w:t>
      </w:r>
      <w:r w:rsidRPr="00770F7A">
        <w:rPr>
          <w:rFonts w:eastAsia="Times New Roman" w:cs="Times New Roman"/>
          <w:szCs w:val="20"/>
        </w:rPr>
        <w:tab/>
      </w:r>
      <w:r w:rsidRPr="00770F7A">
        <w:rPr>
          <w:rFonts w:eastAsia="Times New Roman" w:cs="Times New Roman"/>
          <w:szCs w:val="20"/>
          <w:u w:val="single"/>
        </w:rPr>
        <w:t>the customary legal fees for similar services; and</w:t>
      </w:r>
    </w:p>
    <w:p w:rsidR="00E945AC" w:rsidRPr="00770F7A"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70F7A">
        <w:rPr>
          <w:rFonts w:eastAsia="Times New Roman" w:cs="Times New Roman"/>
          <w:szCs w:val="20"/>
        </w:rPr>
        <w:tab/>
      </w:r>
      <w:r w:rsidRPr="00770F7A">
        <w:rPr>
          <w:rFonts w:eastAsia="Times New Roman" w:cs="Times New Roman"/>
          <w:szCs w:val="20"/>
        </w:rPr>
        <w:tab/>
      </w:r>
      <w:r w:rsidRPr="00770F7A">
        <w:rPr>
          <w:rFonts w:eastAsia="Times New Roman" w:cs="Times New Roman"/>
          <w:szCs w:val="20"/>
          <w:u w:val="single"/>
        </w:rPr>
        <w:t>(6)</w:t>
      </w:r>
      <w:r w:rsidRPr="00770F7A">
        <w:rPr>
          <w:rFonts w:eastAsia="Times New Roman" w:cs="Times New Roman"/>
          <w:szCs w:val="20"/>
        </w:rPr>
        <w:tab/>
      </w:r>
      <w:r w:rsidRPr="00770F7A">
        <w:rPr>
          <w:rFonts w:eastAsia="Times New Roman" w:cs="Times New Roman"/>
          <w:szCs w:val="20"/>
          <w:u w:val="single"/>
        </w:rPr>
        <w:t>whether the results were so exceptional that the case deserves an enhanced lodestar analysis.</w:t>
      </w:r>
      <w:r w:rsidRPr="00770F7A">
        <w:rPr>
          <w:rFonts w:eastAsia="Times New Roman" w:cs="Times New Roman"/>
          <w:szCs w:val="20"/>
        </w:rPr>
        <w:tab/>
      </w:r>
      <w:r w:rsidRPr="00770F7A">
        <w:rPr>
          <w:rFonts w:eastAsia="Times New Roman" w:cs="Times New Roman"/>
          <w:szCs w:val="20"/>
        </w:rPr>
        <w:tab/>
        <w:t>/</w:t>
      </w:r>
    </w:p>
    <w:p w:rsidR="00E945AC" w:rsidRPr="00770F7A"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770F7A">
        <w:rPr>
          <w:rFonts w:eastAsia="Times New Roman" w:cs="Times New Roman"/>
          <w:snapToGrid w:val="0"/>
          <w:szCs w:val="20"/>
        </w:rPr>
        <w:tab/>
        <w:t>Renumber sections to conform.</w:t>
      </w:r>
    </w:p>
    <w:p w:rsidR="00E945AC"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770F7A">
        <w:rPr>
          <w:rFonts w:eastAsia="Times New Roman" w:cs="Times New Roman"/>
          <w:snapToGrid w:val="0"/>
          <w:szCs w:val="20"/>
        </w:rPr>
        <w:tab/>
        <w:t>Amend title to conform.</w:t>
      </w:r>
    </w:p>
    <w:p w:rsidR="00E945AC" w:rsidRPr="00770F7A"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LARRY A. MARTIN for Committee.</w:t>
      </w:r>
    </w:p>
    <w:p w:rsidR="00E945AC" w:rsidRPr="00E945AC"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2D2D96" w:rsidRPr="002D2D96" w:rsidRDefault="002D2D96" w:rsidP="00B003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lastRenderedPageBreak/>
        <w:t>STATEMENT OF ESTIMATED FISCAL IMPACT</w:t>
      </w:r>
    </w:p>
    <w:p w:rsidR="002D2D96" w:rsidRPr="002D2D96" w:rsidRDefault="002D2D96" w:rsidP="00B003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sidRPr="002D2D96">
        <w:rPr>
          <w:rFonts w:eastAsia="Times New Roman" w:cs="Times New Roman"/>
        </w:rPr>
        <w:t>ESTIMATED FISCAL IMPACT ON GENERAL FUND EXPENDITURES:</w:t>
      </w:r>
    </w:p>
    <w:p w:rsidR="002D2D96" w:rsidRPr="002D2D96" w:rsidRDefault="002D2D96" w:rsidP="00B003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bookmarkStart w:id="0" w:name="g"/>
      <w:bookmarkEnd w:id="0"/>
      <w:r w:rsidRPr="002D2D96">
        <w:rPr>
          <w:rFonts w:eastAsia="Times New Roman" w:cs="Times New Roman"/>
        </w:rPr>
        <w:t>See Below</w:t>
      </w:r>
    </w:p>
    <w:p w:rsidR="002D2D96" w:rsidRPr="002D2D96" w:rsidRDefault="002D2D96" w:rsidP="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sidRPr="002D2D96">
        <w:rPr>
          <w:rFonts w:eastAsia="Times New Roman" w:cs="Times New Roman"/>
        </w:rPr>
        <w:t>ESTIMATED FISCAL IMPACT ON FEDERAL &amp; OTHER FUND EXPENDITURES:</w:t>
      </w:r>
    </w:p>
    <w:p w:rsidR="002D2D96" w:rsidRPr="002D2D96" w:rsidRDefault="002D2D96" w:rsidP="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bookmarkStart w:id="1" w:name="f"/>
      <w:bookmarkStart w:id="2" w:name="c"/>
      <w:bookmarkEnd w:id="1"/>
      <w:bookmarkEnd w:id="2"/>
      <w:r w:rsidRPr="002D2D96">
        <w:rPr>
          <w:rFonts w:eastAsia="Times New Roman" w:cs="Times New Roman"/>
        </w:rPr>
        <w:t>See Below</w:t>
      </w:r>
    </w:p>
    <w:p w:rsidR="002D2D96" w:rsidRPr="002D2D96" w:rsidRDefault="002D2D96" w:rsidP="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rPr>
      </w:pPr>
      <w:r w:rsidRPr="002D2D96">
        <w:rPr>
          <w:rFonts w:eastAsia="Times New Roman" w:cs="Times New Roman"/>
          <w:b/>
        </w:rPr>
        <w:t>EXPLANATION OF IMPACT:</w:t>
      </w:r>
    </w:p>
    <w:p w:rsidR="002D2D96" w:rsidRPr="002D2D96" w:rsidRDefault="002D2D96" w:rsidP="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3" w:name="i"/>
      <w:bookmarkEnd w:id="3"/>
      <w:r w:rsidRPr="002D2D96">
        <w:rPr>
          <w:rFonts w:eastAsia="Times New Roman" w:cs="Times New Roman"/>
        </w:rPr>
        <w:tab/>
        <w:t>The Judicial Department indicates this bill would have a minimal impact on the General Fund of the State, which can be absorbed by the agency at the current level of funding.</w:t>
      </w:r>
      <w:r>
        <w:rPr>
          <w:rFonts w:eastAsia="Times New Roman" w:cs="Times New Roman"/>
        </w:rPr>
        <w:t xml:space="preserve"> </w:t>
      </w:r>
      <w:r w:rsidRPr="002D2D96">
        <w:rPr>
          <w:rFonts w:eastAsia="Times New Roman" w:cs="Times New Roman"/>
        </w:rPr>
        <w:t xml:space="preserve"> The additional time requirement placed upon the judge in the determination of what a reasonable rate would be for the attorney’s fee will increase the time in the disposition of the case and therefore add to the overall time case processing in the Court of Common Pleas.  </w:t>
      </w:r>
    </w:p>
    <w:p w:rsidR="002D2D96" w:rsidRPr="002D2D96" w:rsidRDefault="002D2D96" w:rsidP="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i/>
        </w:rPr>
      </w:pPr>
      <w:r w:rsidRPr="002D2D96">
        <w:rPr>
          <w:rFonts w:eastAsia="Times New Roman" w:cs="Times New Roman"/>
          <w:i/>
        </w:rPr>
        <w:tab/>
        <w:t>According to State Budget and Control Board legal staff this bill will serve to limit attorney fees shifted to the taxpayer pursuant to Section 15-77-300.</w:t>
      </w:r>
      <w:r>
        <w:rPr>
          <w:rFonts w:eastAsia="Times New Roman" w:cs="Times New Roman"/>
          <w:i/>
        </w:rPr>
        <w:t xml:space="preserve"> </w:t>
      </w:r>
      <w:r w:rsidRPr="002D2D96">
        <w:rPr>
          <w:rFonts w:eastAsia="Times New Roman" w:cs="Times New Roman"/>
          <w:i/>
        </w:rPr>
        <w:t xml:space="preserve"> As a result, this bill should result in a savings in state funds.</w:t>
      </w:r>
      <w:r>
        <w:rPr>
          <w:rFonts w:eastAsia="Times New Roman" w:cs="Times New Roman"/>
          <w:i/>
        </w:rPr>
        <w:t xml:space="preserve"> </w:t>
      </w:r>
      <w:r w:rsidRPr="002D2D96">
        <w:rPr>
          <w:rFonts w:eastAsia="Times New Roman" w:cs="Times New Roman"/>
          <w:i/>
        </w:rPr>
        <w:t xml:space="preserve"> Although the savings is not readily determinable it could be significant.</w:t>
      </w:r>
    </w:p>
    <w:p w:rsidR="002D2D96" w:rsidRPr="002D2D96" w:rsidRDefault="002D2D96" w:rsidP="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rPr>
      </w:pPr>
      <w:r w:rsidRPr="002D2D96">
        <w:rPr>
          <w:rFonts w:eastAsia="Times New Roman" w:cs="Times New Roman"/>
          <w:b/>
        </w:rPr>
        <w:t>SPECIAL NOTES:</w:t>
      </w:r>
    </w:p>
    <w:p w:rsidR="002D2D96" w:rsidRPr="002D2D96" w:rsidRDefault="002D2D96" w:rsidP="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4" w:name="sn"/>
      <w:bookmarkEnd w:id="4"/>
      <w:r w:rsidRPr="002D2D96">
        <w:rPr>
          <w:rFonts w:eastAsia="Times New Roman" w:cs="Times New Roman"/>
          <w:i/>
        </w:rPr>
        <w:tab/>
        <w:t xml:space="preserve">The italicized portion of this impact indicates the items that have been revised. </w:t>
      </w:r>
      <w:r>
        <w:rPr>
          <w:rFonts w:eastAsia="Times New Roman" w:cs="Times New Roman"/>
          <w:i/>
        </w:rPr>
        <w:t xml:space="preserve"> </w:t>
      </w:r>
      <w:r w:rsidRPr="002D2D96">
        <w:rPr>
          <w:rFonts w:eastAsia="Times New Roman" w:cs="Times New Roman"/>
          <w:i/>
        </w:rPr>
        <w:t>For this impact, the revised constitutes information that was not available in the original impact.</w:t>
      </w:r>
    </w:p>
    <w:p w:rsidR="002D2D96" w:rsidRDefault="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D2D96" w:rsidRDefault="002D2D96" w:rsidP="002D2D96">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2D2D96" w:rsidRDefault="002D2D96" w:rsidP="002D2D96">
      <w:pPr>
        <w:tabs>
          <w:tab w:val="left" w:pos="3024"/>
        </w:tabs>
        <w:suppressAutoHyphens/>
        <w:rPr>
          <w:rFonts w:eastAsia="Times New Roman" w:cs="Times New Roman"/>
        </w:rPr>
      </w:pPr>
      <w:r>
        <w:rPr>
          <w:rFonts w:eastAsia="Times New Roman" w:cs="Times New Roman"/>
        </w:rPr>
        <w:tab/>
        <w:t>Harry Bell</w:t>
      </w:r>
    </w:p>
    <w:p w:rsidR="002D2D96" w:rsidRPr="002D2D96" w:rsidRDefault="002D2D96" w:rsidP="002D2D96">
      <w:pPr>
        <w:tabs>
          <w:tab w:val="left" w:pos="3024"/>
        </w:tabs>
        <w:suppressAutoHyphens/>
        <w:rPr>
          <w:rFonts w:eastAsia="Times New Roman" w:cs="Times New Roman"/>
        </w:rPr>
      </w:pPr>
      <w:r>
        <w:rPr>
          <w:rFonts w:eastAsia="Times New Roman" w:cs="Times New Roman"/>
        </w:rPr>
        <w:tab/>
        <w:t>Office of State Budget</w:t>
      </w:r>
    </w:p>
    <w:p w:rsidR="002D2D96" w:rsidRDefault="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D2D96" w:rsidRDefault="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D2D96" w:rsidRDefault="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2D2D96" w:rsidSect="00E945A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7" w:name="titletop"/>
      <w:bookmarkEnd w:id="7"/>
      <w:r>
        <w:rPr>
          <w:rFonts w:cs="Times New Roman"/>
        </w:rPr>
        <w:t>TO AMEND SECTION 15</w:t>
      </w:r>
      <w:r>
        <w:rPr>
          <w:rFonts w:cs="Times New Roman"/>
        </w:rPr>
        <w:noBreakHyphen/>
        <w:t>77</w:t>
      </w:r>
      <w:r>
        <w:rPr>
          <w:rFonts w:cs="Times New Roman"/>
        </w:rPr>
        <w:noBreakHyphen/>
        <w:t>300, CODE OF LAWS OF SOUTH CAROLINA, 1976, RELATING TO ALLOWANCE OF ATTORNEY’S FEES IN STATE</w:t>
      </w:r>
      <w:r>
        <w:rPr>
          <w:rFonts w:cs="Times New Roman"/>
        </w:rPr>
        <w:noBreakHyphen/>
        <w:t>INITIATED ACTIONS, SO AS TO LIMIT THE FEE TO A REASONABLE TIME EXPENDED AT A REASONABLE RATE.</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8" w:name="titleend"/>
      <w:bookmarkEnd w:id="8"/>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Section 15</w:t>
      </w:r>
      <w:r>
        <w:rPr>
          <w:rFonts w:eastAsia="Times New Roman" w:cs="Times New Roman"/>
          <w:szCs w:val="20"/>
        </w:rPr>
        <w:noBreakHyphen/>
        <w:t>77</w:t>
      </w:r>
      <w:r>
        <w:rPr>
          <w:rFonts w:eastAsia="Times New Roman" w:cs="Times New Roman"/>
          <w:szCs w:val="20"/>
        </w:rPr>
        <w:noBreakHyphen/>
        <w:t>300 of the 1976 Code is amended to read:</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15</w:t>
      </w:r>
      <w:r>
        <w:rPr>
          <w:rFonts w:eastAsia="Times New Roman" w:cs="Times New Roman"/>
          <w:szCs w:val="20"/>
        </w:rPr>
        <w:noBreakHyphen/>
        <w:t>77</w:t>
      </w:r>
      <w:r>
        <w:rPr>
          <w:rFonts w:eastAsia="Times New Roman" w:cs="Times New Roman"/>
          <w:szCs w:val="20"/>
        </w:rPr>
        <w:noBreakHyphen/>
        <w:t>300.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In any civil action brought by the State, any political subdivision of the State or any party who is contesting state action, unless the prevailing party is the State or any political subdivision of the State, the court may allow the prevailing party to recover reasonable attorney’s fees to be taxed as court costs against the appropriate agency if: </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court finds that the agency acted without substantial justification</w:t>
      </w:r>
      <w:r>
        <w:rPr>
          <w:rFonts w:eastAsia="Times New Roman" w:cs="Times New Roman"/>
          <w:szCs w:val="20"/>
          <w:u w:val="single"/>
        </w:rPr>
        <w:t>, in law and fact,</w:t>
      </w:r>
      <w:r>
        <w:rPr>
          <w:rFonts w:eastAsia="Times New Roman" w:cs="Times New Roman"/>
          <w:szCs w:val="20"/>
        </w:rPr>
        <w:t xml:space="preserve"> in pressing its claim against the party; and</w:t>
      </w:r>
      <w:r>
        <w:rPr>
          <w:rFonts w:eastAsia="Times New Roman" w:cs="Times New Roman"/>
          <w:szCs w:val="20"/>
        </w:rPr>
        <w:tab/>
      </w:r>
      <w:r>
        <w:rPr>
          <w:rFonts w:eastAsia="Times New Roman" w:cs="Times New Roman"/>
          <w:szCs w:val="20"/>
        </w:rPr>
        <w:tab/>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court finds that there are no special circumstances that would make the award of attorney’s fees unjust.</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u w:val="single"/>
        </w:rPr>
        <w:t>The agency is presumed to be substantially justified in pressing its claim against the party if the agency follows the mandate of state law that has not been invalidated by a court of competent jurisdiction.</w:t>
      </w:r>
      <w:r>
        <w:rPr>
          <w:rFonts w:eastAsia="Times New Roman" w:cs="Times New Roman"/>
          <w:szCs w:val="20"/>
        </w:rPr>
        <w:tab/>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noProof/>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Attorney’s fees allowed pursuant to subsection (A) must be limited to a reasonable time expended at a reasonable rate.  Factors to be applied in determining a reasonable rate include</w:t>
      </w:r>
      <w:r>
        <w:rPr>
          <w:rFonts w:eastAsia="Times New Roman" w:cs="Times New Roman"/>
          <w:noProof/>
          <w:szCs w:val="20"/>
          <w:u w:val="single"/>
        </w:rPr>
        <w:t>:</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u w:val="single"/>
        </w:rPr>
      </w:pPr>
      <w:r>
        <w:rPr>
          <w:rFonts w:eastAsia="Times New Roman" w:cs="Times New Roman"/>
          <w:noProof/>
          <w:szCs w:val="20"/>
        </w:rPr>
        <w:tab/>
      </w:r>
      <w:r>
        <w:rPr>
          <w:rFonts w:eastAsia="Times New Roman" w:cs="Times New Roman"/>
          <w:noProof/>
          <w:szCs w:val="20"/>
        </w:rPr>
        <w:tab/>
      </w:r>
      <w:r>
        <w:rPr>
          <w:rFonts w:eastAsia="Times New Roman" w:cs="Times New Roman"/>
          <w:noProof/>
          <w:szCs w:val="20"/>
          <w:u w:val="single"/>
        </w:rPr>
        <w:t>(</w:t>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nature, extent, and difficulty of the case;</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time devoted;</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u w:val="single"/>
        </w:rPr>
      </w:pPr>
      <w:r>
        <w:rPr>
          <w:rFonts w:eastAsia="Times New Roman" w:cs="Times New Roman"/>
          <w:szCs w:val="20"/>
        </w:rPr>
        <w:lastRenderedPageBreak/>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professional standing of counsel;</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the beneficial results obtained; and</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the customary legal fees for similar services.</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u w:val="single"/>
        </w:rPr>
        <w:t>The judge must make specific written findings regarding each factor listed above in making the award of attorney’s fees.  However, in no event shall a prevailing party be allowed to shift attorney’s fees pursuant to this section that exceed the fees the party has contracted to pay counsel for work on the litigation.  The provisions of this subsection do not apply to an attorney’s  fees award paid to an attorney representing a landowner in a condemnation proceeding as provided for in Sections 28-2-510  or 57-5-320.</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t>The provisions of this section do not apply to civil actions relating to the establishment of public utility rates, disciplinary actions by state licensing boards, habeas corpus or post conviction relief actions, child support actions, except as otherwise provided for herein, and child abuse and neglect actions.”</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C435C3" w:rsidRDefault="00B003E5" w:rsidP="00693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435C3" w:rsidSect="00E945A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35C3" w:rsidRDefault="00C435C3" w:rsidP="00C435C3">
      <w:r>
        <w:separator/>
      </w:r>
    </w:p>
  </w:endnote>
  <w:endnote w:type="continuationSeparator" w:id="1">
    <w:p w:rsidR="00C435C3" w:rsidRDefault="00C435C3" w:rsidP="00C435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44A8D2-1C7D-4DE0-AA7E-1E331959B107}"/>
    <w:embedBold r:id="rId2" w:fontKey="{371290DF-52B0-4A19-A1FC-91282254E0D7}"/>
    <w:embedItalic r:id="rId3" w:fontKey="{11CCD20B-27F2-4EB0-B1D6-E7B0494D3572}"/>
  </w:font>
  <w:font w:name="Calibri">
    <w:panose1 w:val="020F0502020204030204"/>
    <w:charset w:val="00"/>
    <w:family w:val="swiss"/>
    <w:pitch w:val="variable"/>
    <w:sig w:usb0="A00002EF" w:usb1="4000207B" w:usb2="00000000" w:usb3="00000000" w:csb0="0000009F" w:csb1="00000000"/>
    <w:embedRegular r:id="rId4" w:fontKey="{D736D702-39BB-4450-9D2B-DE580E9E43DE}"/>
  </w:font>
  <w:font w:name="Tahoma">
    <w:panose1 w:val="020B0604030504040204"/>
    <w:charset w:val="00"/>
    <w:family w:val="swiss"/>
    <w:pitch w:val="variable"/>
    <w:sig w:usb0="61002A87" w:usb1="80000000" w:usb2="00000008" w:usb3="00000000" w:csb0="000101FF" w:csb1="00000000"/>
    <w:embedRegular r:id="rId5" w:fontKey="{B273BBE8-565B-45A3-B2C4-E8421448FB9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F6AE55DA-E71A-42E4-9D75-FEC7935EC1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5C3" w:rsidRDefault="00B003E5">
    <w:pPr>
      <w:pStyle w:val="Footer"/>
      <w:tabs>
        <w:tab w:val="clear" w:pos="4680"/>
        <w:tab w:val="clear" w:pos="9360"/>
        <w:tab w:val="center" w:pos="2995"/>
      </w:tabs>
      <w:spacing w:before="120"/>
    </w:pPr>
    <w:r>
      <w:t>[186</w:t>
    </w:r>
    <w:r w:rsidR="00E945AC">
      <w:t>-</w:t>
    </w:r>
    <w:fldSimple w:instr=" PAGE  \* MERGEFORMAT ">
      <w:r w:rsidR="00693698">
        <w:rPr>
          <w:noProof/>
        </w:rPr>
        <w:t>2</w:t>
      </w:r>
    </w:fldSimple>
    <w:r w:rsidR="00E945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5AC" w:rsidRDefault="00E945AC">
    <w:pPr>
      <w:pStyle w:val="Footer"/>
      <w:tabs>
        <w:tab w:val="clear" w:pos="4680"/>
        <w:tab w:val="clear" w:pos="9360"/>
        <w:tab w:val="center" w:pos="2995"/>
      </w:tabs>
      <w:spacing w:before="120"/>
    </w:pPr>
    <w:r>
      <w:t>[186]</w:t>
    </w:r>
    <w:r>
      <w:tab/>
    </w:r>
    <w:fldSimple w:instr=" PAGE  \* MERGEFORMAT ">
      <w:r w:rsidR="006936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35C3" w:rsidRDefault="00C435C3" w:rsidP="00C435C3">
      <w:r>
        <w:separator/>
      </w:r>
    </w:p>
  </w:footnote>
  <w:footnote w:type="continuationSeparator" w:id="1">
    <w:p w:rsidR="00C435C3" w:rsidRDefault="00C435C3" w:rsidP="00C435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435C3"/>
    <w:rsid w:val="0004574C"/>
    <w:rsid w:val="001B65D8"/>
    <w:rsid w:val="002D2D96"/>
    <w:rsid w:val="00357C36"/>
    <w:rsid w:val="004D79AE"/>
    <w:rsid w:val="00693698"/>
    <w:rsid w:val="00B003E5"/>
    <w:rsid w:val="00C435C3"/>
    <w:rsid w:val="00E945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435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435C3"/>
    <w:rPr>
      <w:szCs w:val="21"/>
    </w:rPr>
  </w:style>
  <w:style w:type="character" w:customStyle="1" w:styleId="PlainTextChar">
    <w:name w:val="Plain Text Char"/>
    <w:basedOn w:val="DefaultParagraphFont"/>
    <w:link w:val="PlainText"/>
    <w:uiPriority w:val="99"/>
    <w:rsid w:val="00C435C3"/>
    <w:rPr>
      <w:szCs w:val="21"/>
    </w:rPr>
  </w:style>
  <w:style w:type="paragraph" w:styleId="BodyText">
    <w:name w:val="Body Text"/>
    <w:basedOn w:val="Normal"/>
    <w:link w:val="BodyTextChar"/>
    <w:uiPriority w:val="99"/>
    <w:locked/>
    <w:rsid w:val="00C435C3"/>
  </w:style>
  <w:style w:type="character" w:customStyle="1" w:styleId="BodyTextChar">
    <w:name w:val="Body Text Char"/>
    <w:basedOn w:val="DefaultParagraphFont"/>
    <w:link w:val="BodyText"/>
    <w:uiPriority w:val="99"/>
    <w:rsid w:val="00C435C3"/>
  </w:style>
  <w:style w:type="paragraph" w:styleId="BalloonText">
    <w:name w:val="Balloon Text"/>
    <w:next w:val="Normal"/>
    <w:link w:val="BalloonTextChar"/>
    <w:uiPriority w:val="99"/>
    <w:unhideWhenUsed/>
    <w:rsid w:val="00C435C3"/>
    <w:rPr>
      <w:rFonts w:cs="Tahoma"/>
      <w:szCs w:val="16"/>
    </w:rPr>
  </w:style>
  <w:style w:type="character" w:customStyle="1" w:styleId="BalloonTextChar">
    <w:name w:val="Balloon Text Char"/>
    <w:basedOn w:val="DefaultParagraphFont"/>
    <w:link w:val="BalloonText"/>
    <w:uiPriority w:val="99"/>
    <w:rsid w:val="00C435C3"/>
    <w:rPr>
      <w:rFonts w:cs="Tahoma"/>
      <w:szCs w:val="16"/>
    </w:rPr>
  </w:style>
  <w:style w:type="paragraph" w:styleId="NormalWeb">
    <w:name w:val="Normal (Web)"/>
    <w:basedOn w:val="Normal"/>
    <w:next w:val="Normal"/>
    <w:semiHidden/>
    <w:locked/>
    <w:rsid w:val="00C435C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435C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435C3"/>
    <w:rPr>
      <w:rFonts w:cs="Times New Roman"/>
    </w:rPr>
  </w:style>
  <w:style w:type="character" w:styleId="LineNumber">
    <w:name w:val="line number"/>
    <w:basedOn w:val="DefaultParagraphFont"/>
    <w:uiPriority w:val="99"/>
    <w:semiHidden/>
    <w:unhideWhenUsed/>
    <w:locked/>
    <w:rsid w:val="00E945AC"/>
  </w:style>
  <w:style w:type="paragraph" w:styleId="Header">
    <w:name w:val="header"/>
    <w:basedOn w:val="Normal"/>
    <w:link w:val="HeaderChar"/>
    <w:uiPriority w:val="99"/>
    <w:semiHidden/>
    <w:unhideWhenUsed/>
    <w:locked/>
    <w:rsid w:val="00E945AC"/>
    <w:pPr>
      <w:tabs>
        <w:tab w:val="center" w:pos="4680"/>
        <w:tab w:val="right" w:pos="9360"/>
      </w:tabs>
    </w:pPr>
  </w:style>
  <w:style w:type="character" w:customStyle="1" w:styleId="HeaderChar">
    <w:name w:val="Header Char"/>
    <w:basedOn w:val="DefaultParagraphFont"/>
    <w:link w:val="Header"/>
    <w:uiPriority w:val="99"/>
    <w:semiHidden/>
    <w:rsid w:val="00E945AC"/>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754</Words>
  <Characters>4304</Characters>
  <Application>Microsoft Office Word</Application>
  <DocSecurity>0</DocSecurity>
  <Lines>35</Lines>
  <Paragraphs>10</Paragraphs>
  <ScaleCrop>false</ScaleCrop>
  <Company>Project Management</Company>
  <LinksUpToDate>false</LinksUpToDate>
  <CharactersWithSpaces>5048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JULIANNECARROLL</cp:lastModifiedBy>
  <cp:revision>2</cp:revision>
  <dcterms:created xsi:type="dcterms:W3CDTF">2009-03-04T22:05:00Z</dcterms:created>
  <dcterms:modified xsi:type="dcterms:W3CDTF">2009-03-04T22:05:00Z</dcterms:modified>
</cp:coreProperties>
</file>