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CHAPTER 1, TITLE 1 OF THE 1976 CODE, RELATING TO THE ADMINISTRATION OF GOVERNMENT, BY ADDING ARTICLE 17, THE TRUTH IN SPENDING ACT, TO PROVIDE THAT THE COMPTROLLER GENERAL FOR EACH AGENCY, DEPARTMENT, AND INSTITUTION OF STATE GOVERNMENT AND EACH LOCAL GOVERNMENTAL ENTITY MUST MAINTAIN A DETAILED TRANSACTION REGISTER OF ALL FUNDS EXPENDED EACH MONTH AND POST THAT REGISTER ONLINE, TO PROVIDE THAT THE COMPTROLLER GENERAL FOR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Truth In Spending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1100.</w:t>
      </w:r>
      <w:r>
        <w:rPr>
          <w:rFonts w:eastAsia="Times New Roman" w:cs="Times New Roman"/>
          <w:szCs w:val="20"/>
        </w:rPr>
        <w:tab/>
        <w:t>For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r>
        <w:rPr>
          <w:rFonts w:eastAsia="Times New Roman" w:cs="Times New Roman"/>
          <w:szCs w:val="20"/>
        </w:rPr>
        <w:tab/>
        <w:t>(1)</w:t>
      </w:r>
      <w:r>
        <w:rPr>
          <w:rFonts w:eastAsia="Times New Roman" w:cs="Times New Roman"/>
          <w:szCs w:val="20"/>
        </w:rPr>
        <w:tab/>
        <w:t xml:space="preserve">‘Class’ means </w:t>
      </w:r>
      <w:r>
        <w:rPr>
          <w:rFonts w:eastAsia="Times New Roman" w:cs="Times New Roman"/>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18"/>
        </w:rPr>
        <w:tab/>
        <w:t>(2)</w:t>
      </w:r>
      <w:r>
        <w:rPr>
          <w:rFonts w:eastAsia="Times New Roman" w:cs="Times New Roman"/>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‘Local governmental entity’ means every county, municipal corporation, township, school district, special purpose district, drainage district, or other taxing or governmental unit organized under the laws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‘State agency’ means an agency, department, or institution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1110.</w:t>
      </w:r>
      <w:r>
        <w:rPr>
          <w:rFonts w:eastAsia="Times New Roman" w:cs="Times New Roman"/>
          <w:szCs w:val="20"/>
        </w:rPr>
        <w:tab/>
        <w:t>(A)</w:t>
      </w:r>
      <w:r>
        <w:rPr>
          <w:rFonts w:eastAsia="Times New Roman" w:cs="Times New Roman"/>
          <w:szCs w:val="20"/>
        </w:rPr>
        <w:tab/>
        <w:t>The comptroller general shall maintain a transaction register for each state agency that includes a complete record of all funds expended over one hundred dollars, from whatever source for whatever purpose.  The register must be prominently posted on the comptroller general’s internet website and made available for public viewing and downloading.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(1)(a)</w:t>
      </w:r>
      <w:r>
        <w:rPr>
          <w:rFonts w:eastAsia="Times New Roman" w:cs="Times New Roman"/>
          <w:szCs w:val="20"/>
        </w:rPr>
        <w:tab/>
        <w:t>The register must include for each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the transaction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the name of the payee;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a statement providing a detailed description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register must not include an entry for salary, wages, or other compensation paid to individual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register must not include any information that can be used to identify an individual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register must be accompanied by a complete explanation of any codes or acronyms used to identify a payee or an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register must be searchable and updated at least once a month.  Each monthly register must be maintained on the internet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comptroller general shall also maintain for each state agency on its internet website a copy of each monthly statement for all of the credit cards maintained by each agency, including credit cards issued to its officers or employees for official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credit card number on each statement must be redacted prior to posting on the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1120.</w:t>
      </w:r>
      <w:r>
        <w:rPr>
          <w:rFonts w:eastAsia="Times New Roman" w:cs="Times New Roman"/>
          <w:szCs w:val="20"/>
        </w:rPr>
        <w:tab/>
      </w:r>
      <w:r>
        <w:rPr>
          <w:rFonts w:eastAsia="Times New Roman" w:cs="Times New Roman"/>
          <w:szCs w:val="20"/>
        </w:rPr>
        <w:tab/>
        <w:t>(A)</w:t>
      </w:r>
      <w:r>
        <w:rPr>
          <w:rFonts w:eastAsia="Times New Roman" w:cs="Times New Roman"/>
          <w:szCs w:val="20"/>
        </w:rPr>
        <w:tab/>
        <w:t>Each local governmental entity in the State shall maintain a transaction register that includes a complete record of all funds expended over one hundred dollars, from whatever source for whatever purpose.  The register must be prominently posted on the entity’s internet website and made available for public viewing and downloading.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(1)(a)</w:t>
      </w:r>
      <w:r>
        <w:rPr>
          <w:rFonts w:eastAsia="Times New Roman" w:cs="Times New Roman"/>
          <w:szCs w:val="20"/>
        </w:rPr>
        <w:tab/>
        <w:t>The register must include for each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the transaction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the name of the payee;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a statement providing a detailed description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register must not include an entry for salary, wages, or other compensation paid to individual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register must not include any information that can be used to identify an individual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register must be accompanied by a complete explanation of any codes or acronyms used to identify a payee or an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register must be searchable and updated at least once a month.  Each monthly register must be maintained on the internet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Each local governmental entity shall also maintain on its internet website a copy of each monthly statement for all of the credit cards maintained by the entity, including credit cards issued to its officers or employees for official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credit card number on each statement must be redacted prior to posting on the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1130.</w:t>
      </w:r>
      <w:r>
        <w:rPr>
          <w:rFonts w:eastAsia="Times New Roman" w:cs="Times New Roman"/>
          <w:szCs w:val="20"/>
        </w:rPr>
        <w:tab/>
        <w:t>(A)</w:t>
      </w:r>
      <w:r>
        <w:rPr>
          <w:rFonts w:eastAsia="Times New Roman" w:cs="Times New Roman"/>
          <w:szCs w:val="20"/>
        </w:rP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Each state agency shall post on its internet website the report that must be prepared pursuant to Section 1</w:t>
      </w:r>
      <w:r>
        <w:rPr>
          <w:rFonts w:eastAsia="Times New Roman" w:cs="Times New Roman"/>
          <w:szCs w:val="20"/>
        </w:rPr>
        <w:noBreakHyphen/>
        <w:t>1</w:t>
      </w:r>
      <w:r>
        <w:rPr>
          <w:rFonts w:eastAsia="Times New Roman" w:cs="Times New Roman"/>
          <w:szCs w:val="20"/>
        </w:rPr>
        <w:noBreakHyphen/>
        <w:t>970.  Each report must be maintained on the internet website for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1140.</w:t>
      </w:r>
      <w:r>
        <w:rPr>
          <w:rFonts w:eastAsia="Times New Roman" w:cs="Times New Roman"/>
          <w:szCs w:val="20"/>
        </w:rPr>
        <w:tab/>
        <w:t>(A)</w:t>
      </w:r>
      <w:r>
        <w:rPr>
          <w:rFonts w:eastAsia="Times New Roman" w:cs="Times New Roman"/>
          <w:szCs w:val="20"/>
        </w:rPr>
        <w:tab/>
        <w:t xml:space="preserve">The comptroller general must establish and maintain a website to contain the information required by this article from a local governmental entity that does not maintain its own internet website.  The internet website must be organized so that the public can differentiate between the local governmental entities and search for the information they are seeking.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Local governmental entities that do not maintain an internet website must transmit all information required by this article to the comptroller general in a manner and at a time determined by the comptroller general to be included on the internet website required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1150.</w:t>
      </w:r>
      <w:r>
        <w:rPr>
          <w:rFonts w:eastAsia="Times New Roman" w:cs="Times New Roman"/>
          <w:szCs w:val="20"/>
        </w:rP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1160.</w:t>
      </w:r>
      <w:r>
        <w:rPr>
          <w:rFonts w:eastAsia="Times New Roman" w:cs="Times New Roman"/>
          <w:szCs w:val="20"/>
        </w:rPr>
        <w:tab/>
        <w:t>The provisions contained in this article do not amend, suspend, supercede, replace, revoke, restrict, or otherwise affect Chapter 4, Title 30, the South Carolina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AF6745-FC18-438E-867F-36683D853097}"/>
    <w:embedBold r:id="rId2" w:fontKey="{BAE656EB-F477-4E7A-B685-9C5E99CC4B3F}"/>
  </w:font>
  <w:font w:name="Calibri">
    <w:panose1 w:val="020F0502020204030204"/>
    <w:charset w:val="00"/>
    <w:family w:val="swiss"/>
    <w:pitch w:val="variable"/>
    <w:sig w:usb0="A00002EF" w:usb1="4000207B" w:usb2="00000000" w:usb3="00000000" w:csb0="0000009F" w:csb1="00000000"/>
    <w:embedRegular r:id="rId3" w:fontKey="{028B24EF-AAA5-481C-B616-B9E879301F2B}"/>
  </w:font>
  <w:font w:name="Tahoma">
    <w:panose1 w:val="020B0604030504040204"/>
    <w:charset w:val="00"/>
    <w:family w:val="swiss"/>
    <w:pitch w:val="variable"/>
    <w:sig w:usb0="61002A87" w:usb1="80000000" w:usb2="00000008" w:usb3="00000000" w:csb0="000101FF" w:csb1="00000000"/>
    <w:embedRegular r:id="rId4" w:fontKey="{DBFD3542-D1F0-4AFC-9549-774F310C25F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9CCCA379-B0D5-4E4F-B7E3-56C8743047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[229]</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1120</Words>
  <Characters>6390</Characters>
  <Application>Microsoft Office Word</Application>
  <DocSecurity>0</DocSecurity>
  <Lines>53</Lines>
  <Paragraphs>14</Paragraphs>
  <ScaleCrop>false</ScaleCrop>
  <Company>Project Management</Company>
  <LinksUpToDate>false</LinksUpToDate>
  <CharactersWithSpaces>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2008-12-17T19:51:00Z</dcterms:created>
  <dcterms:modified xsi:type="dcterms:W3CDTF">2008-12-17T19:51:00Z</dcterms:modified>
</cp:coreProperties>
</file>