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0" w:name="whattype"/>
      <w:bookmarkEnd w:id="0"/>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1" w:name="titletop"/>
      <w:bookmarkEnd w:id="1"/>
      <w:r>
        <w:rPr>
          <w:rFonts w:eastAsia="Times New Roman" w:cs="Times New Roman"/>
          <w:szCs w:val="20"/>
        </w:rPr>
        <w:t>TO AMEND SECTION 59</w:t>
      </w:r>
      <w:r>
        <w:rPr>
          <w:rFonts w:eastAsia="Times New Roman" w:cs="Times New Roman"/>
          <w:szCs w:val="20"/>
        </w:rPr>
        <w:noBreakHyphen/>
        <w:t>150</w:t>
      </w:r>
      <w:r>
        <w:rPr>
          <w:rFonts w:eastAsia="Times New Roman" w:cs="Times New Roman"/>
          <w:szCs w:val="20"/>
        </w:rPr>
        <w:noBreakHyphen/>
        <w:t>230, CODE OF LAWS OF SOUTH CAROLINA, 1976, RELATING TO PAYMENT OF LOTTERY PRIZES IN CONNECTION WITH THE SOUTH CAROLINA EDUCATION LOTTERY, SO AS TO ALLOW CERTAIN PERSONS, OTHERWISE PROHIBITED FROM PURCHASING A LOTTERY TICKET OR SHARE AND BEING PAID A PRIZE FOR A WINNING LOTTERY TICKET OR SHARE, TO PURCHASE AND WIN A PRIZE IN CONNECTION WITH A MULTI</w:t>
      </w:r>
      <w:r>
        <w:rPr>
          <w:rFonts w:eastAsia="Times New Roman" w:cs="Times New Roman"/>
          <w:szCs w:val="20"/>
        </w:rPr>
        <w:noBreakHyphen/>
        <w:t>STATE LOTTERY PRODUCT OFFERED BY THE SOUTH CAROLINA EDUCATION LOTTERY.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59</w:t>
      </w:r>
      <w:r>
        <w:rPr>
          <w:rFonts w:eastAsia="Times New Roman" w:cs="Times New Roman"/>
          <w:szCs w:val="20"/>
        </w:rPr>
        <w:noBreakHyphen/>
        <w:t>150</w:t>
      </w:r>
      <w:r>
        <w:rPr>
          <w:rFonts w:eastAsia="Times New Roman" w:cs="Times New Roman"/>
          <w:szCs w:val="20"/>
        </w:rPr>
        <w:noBreakHyphen/>
        <w:t>230(F)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“(F)</w:t>
      </w:r>
      <w:r>
        <w:rPr>
          <w:rFonts w:eastAsia="Times New Roman" w:cs="Times New Roman"/>
          <w:szCs w:val="20"/>
          <w:u w:val="single"/>
        </w:rPr>
        <w:t>(1)</w:t>
      </w:r>
      <w:r>
        <w:rPr>
          <w:rFonts w:eastAsia="Times New Roman" w:cs="Times New Roman"/>
          <w:szCs w:val="20"/>
        </w:rPr>
        <w:tab/>
        <w:t>A lottery game ticket or share must not be purchased by and a prize must not be paid to a member of the board, an officer or employee of the commission, or a spouse, child, brother, sister, or parent residing as a member of the same household in his principal place of residence. A lottery game ticket or share must not be purchased by and a prize must not be paid to an officer, employee, agent, or a subcontractor of a lottery vendor, or a spouse, child, brother, sister, or parent residing as a member of the same household in his principal place of residence if he has access to confidential information that may compromise the integrity of the lottery.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Notwithstanding the provisions of item (1), a person named in that item may purchase a multi</w:t>
      </w:r>
      <w:r>
        <w:rPr>
          <w:rFonts w:eastAsia="Times New Roman" w:cs="Times New Roman"/>
          <w:szCs w:val="20"/>
          <w:u w:val="single"/>
        </w:rPr>
        <w:noBreakHyphen/>
        <w:t>state lottery product offered pursuant to Section 59</w:t>
      </w:r>
      <w:r>
        <w:rPr>
          <w:rFonts w:eastAsia="Times New Roman" w:cs="Times New Roman"/>
          <w:szCs w:val="20"/>
          <w:u w:val="single"/>
        </w:rPr>
        <w:noBreakHyphen/>
        <w:t>150</w:t>
      </w:r>
      <w:r>
        <w:rPr>
          <w:rFonts w:eastAsia="Times New Roman" w:cs="Times New Roman"/>
          <w:szCs w:val="20"/>
          <w:u w:val="single"/>
        </w:rPr>
        <w:noBreakHyphen/>
        <w:t>75 and may claim and be paid a prize for a winning multi</w:t>
      </w:r>
      <w:r>
        <w:rPr>
          <w:rFonts w:eastAsia="Times New Roman" w:cs="Times New Roman"/>
          <w:szCs w:val="20"/>
          <w:u w:val="single"/>
        </w:rPr>
        <w:noBreakHyphen/>
        <w:t>state lottery product.</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15D9BF-3A05-480A-85DE-8874EDA2C9AC}"/>
    <w:embedBold r:id="rId2" w:fontKey="{05FBD0A0-FD2A-4A6F-BF12-E32B6AFFEF61}"/>
  </w:font>
  <w:font w:name="Calibri">
    <w:panose1 w:val="020F0502020204030204"/>
    <w:charset w:val="00"/>
    <w:family w:val="swiss"/>
    <w:pitch w:val="variable"/>
    <w:sig w:usb0="A00002EF" w:usb1="4000207B" w:usb2="00000000" w:usb3="00000000" w:csb0="0000009F" w:csb1="00000000"/>
    <w:embedRegular r:id="rId3" w:fontKey="{AB66721E-C0EC-418C-8B8C-2982830709AC}"/>
  </w:font>
  <w:font w:name="Tahoma">
    <w:panose1 w:val="020B0604030504040204"/>
    <w:charset w:val="00"/>
    <w:family w:val="swiss"/>
    <w:pitch w:val="variable"/>
    <w:sig w:usb0="61002A87" w:usb1="80000000" w:usb2="00000008" w:usb3="00000000" w:csb0="000101FF" w:csb1="00000000"/>
    <w:embedRegular r:id="rId4" w:fontKey="{97E324A0-7C29-44B9-A252-DCD1C4108CDB}"/>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116A6F77-6325-41EB-9921-3609F1818BB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[237]</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198</Words>
  <Characters>1386</Characters>
  <Application>Microsoft Office Word</Application>
  <DocSecurity>0</DocSecurity>
  <Lines>231</Lines>
  <Paragraphs>197</Paragraphs>
  <ScaleCrop>false</ScaleCrop>
  <Company>Project Management</Company>
  <LinksUpToDate>false</LinksUpToDate>
  <CharactersWithSpaces>1387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2009-01-13T21:35:00Z</dcterms:created>
  <dcterms:modified xsi:type="dcterms:W3CDTF">2009-01-13T21:35:00Z</dcterms:modified>
</cp:coreProperties>
</file>