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2" w:name="titletop"/>
      <w:bookmarkEnd w:id="2"/>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as last amended by Act 297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w:t>
      </w:r>
      <w:r>
        <w:rPr>
          <w:rFonts w:eastAsia="Times New Roman" w:cs="Times New Roman"/>
          <w:color w:val="000000" w:themeColor="text1"/>
          <w:szCs w:val="20"/>
          <w:u w:color="000000" w:themeColor="text1"/>
        </w:rPr>
        <w:tab/>
        <w:t xml:space="preserve">The department may issue a permanent special motor vehicle license plate to a recipient of the Purple Heart for use on a private passenger motor vehicle or motorcycle.   There is no fee for the </w:t>
      </w:r>
      <w:r>
        <w:rPr>
          <w:rFonts w:eastAsia="Times New Roman" w:cs="Times New Roman"/>
          <w:color w:val="000000" w:themeColor="text1"/>
          <w:szCs w:val="20"/>
          <w:u w:val="single" w:color="000000" w:themeColor="text1"/>
        </w:rPr>
        <w:t>issuance of up to two</w:t>
      </w:r>
      <w:r>
        <w:rPr>
          <w:rFonts w:eastAsia="Times New Roman" w:cs="Times New Roman"/>
          <w:color w:val="000000" w:themeColor="text1"/>
          <w:szCs w:val="20"/>
          <w:u w:color="000000" w:themeColor="text1"/>
        </w:rPr>
        <w:t xml:space="preserv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plates</w:t>
      </w:r>
      <w:r>
        <w:rPr>
          <w:rFonts w:eastAsia="Times New Roman" w:cs="Times New Roman"/>
          <w:color w:val="000000" w:themeColor="text1"/>
          <w:szCs w:val="20"/>
          <w:u w:color="000000" w:themeColor="text1"/>
        </w:rPr>
        <w:t xml:space="preserve">, and </w:t>
      </w:r>
      <w:r>
        <w:rPr>
          <w:rFonts w:eastAsia="Times New Roman" w:cs="Times New Roman"/>
          <w:strike/>
          <w:color w:val="000000" w:themeColor="text1"/>
          <w:szCs w:val="20"/>
          <w:u w:color="000000" w:themeColor="text1"/>
        </w:rPr>
        <w:t>not more than two license plates may be issued to a person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the biennial fee for any additional Purple Heart special plate is the same as the fee provided in Article 5, Chapter 3 of this title and a special fee of ten dollars</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From the special fee collected pursuant to this section, the Comptroller General shall place sufficient funds into a special restricted account to be used by the department in producing and administering the plates</w:t>
      </w:r>
      <w:r>
        <w:rPr>
          <w:rFonts w:eastAsia="Times New Roman" w:cs="Times New Roman"/>
          <w:color w:val="000000" w:themeColor="text1"/>
          <w:szCs w:val="20"/>
          <w:u w:color="000000" w:themeColor="text1"/>
        </w:rPr>
        <w:t>.  The application for a special plate must include proof the applicant is a recipient of the Purple Heart.”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2B4DC7-DF72-4A02-BA4A-3DD46B627797}"/>
    <w:embedBold r:id="rId2" w:fontKey="{5CBF45D1-FDA2-4737-BD51-17CFCEEDCC45}"/>
  </w:font>
  <w:font w:name="Calibri">
    <w:panose1 w:val="020F0502020204030204"/>
    <w:charset w:val="00"/>
    <w:family w:val="swiss"/>
    <w:pitch w:val="variable"/>
    <w:sig w:usb0="A00002EF" w:usb1="4000207B" w:usb2="00000000" w:usb3="00000000" w:csb0="0000009F" w:csb1="00000000"/>
    <w:embedRegular r:id="rId3" w:fontKey="{CA62D964-792B-4AFD-B681-6673C43124EB}"/>
  </w:font>
  <w:font w:name="Tahoma">
    <w:panose1 w:val="020B0604030504040204"/>
    <w:charset w:val="00"/>
    <w:family w:val="swiss"/>
    <w:pitch w:val="variable"/>
    <w:sig w:usb0="61002A87" w:usb1="80000000" w:usb2="00000008" w:usb3="00000000" w:csb0="000101FF" w:csb1="00000000"/>
    <w:embedRegular r:id="rId4" w:fontKey="{17636EDF-2432-437A-8B6B-F8C44C7B02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DC7DCEC-165C-49FE-87A3-EFD9467576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1273</Characters>
  <Application>Microsoft Office Word</Application>
  <DocSecurity>0</DocSecurity>
  <Lines>212</Lines>
  <Paragraphs>181</Paragraphs>
  <ScaleCrop>false</ScaleCrop>
  <Company>Project Management</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2009-01-13T21:39:00Z</dcterms:created>
  <dcterms:modified xsi:type="dcterms:W3CDTF">2009-01-13T21:39:00Z</dcterms:modified>
</cp:coreProperties>
</file>