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12, 2009</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266</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Leventis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1366F7">
      <w:pPr>
        <w:tabs>
          <w:tab w:val="right" w:pos="5933"/>
        </w:tabs>
        <w:suppressAutoHyphens/>
        <w:rPr>
          <w:rFonts w:eastAsia="Times New Roman" w:cs="Times New Roman"/>
          <w:szCs w:val="20"/>
        </w:rPr>
      </w:pPr>
      <w:r>
        <w:rPr>
          <w:rFonts w:eastAsia="Times New Roman" w:cs="Times New Roman"/>
          <w:szCs w:val="20"/>
        </w:rPr>
        <w:t>S. Printed 3/12/09--S.</w:t>
      </w:r>
      <w:r w:rsidR="001366F7">
        <w:rPr>
          <w:rFonts w:eastAsia="Times New Roman" w:cs="Times New Roman"/>
          <w:szCs w:val="20"/>
        </w:rPr>
        <w:tab/>
        <w:t>[SEC 3/16/09 9:49 AM]</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266) 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etc., respectfully</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Amend the bill</w:t>
      </w:r>
      <w:r w:rsidR="001366F7">
        <w:rPr>
          <w:rFonts w:eastAsia="Times New Roman" w:cs="Times New Roman"/>
          <w:snapToGrid w:val="0"/>
          <w:szCs w:val="20"/>
        </w:rPr>
        <w:t>,</w:t>
      </w:r>
      <w:r w:rsidRPr="001D4A43">
        <w:rPr>
          <w:rFonts w:eastAsia="Times New Roman" w:cs="Times New Roman"/>
          <w:snapToGrid w:val="0"/>
          <w:szCs w:val="20"/>
        </w:rPr>
        <w:t xml:space="preserve"> as and if amended, by striking all after the enacting words and inserting:</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Pr>
          <w:rFonts w:eastAsia="Times New Roman" w:cs="Times New Roman"/>
          <w:snapToGrid w:val="0"/>
          <w:szCs w:val="20"/>
        </w:rPr>
        <w:tab/>
      </w:r>
      <w:r w:rsidRPr="001D4A43">
        <w:rPr>
          <w:rFonts w:eastAsia="Times New Roman" w:cs="Times New Roman"/>
          <w:snapToGrid w:val="0"/>
          <w:szCs w:val="20"/>
        </w:rPr>
        <w:t>/</w:t>
      </w:r>
      <w:r w:rsidRPr="001D4A43">
        <w:rPr>
          <w:rFonts w:eastAsia="Times New Roman" w:cs="Times New Roman"/>
          <w:szCs w:val="20"/>
        </w:rPr>
        <w:t>SECTION</w:t>
      </w:r>
      <w:r w:rsidRPr="001D4A43">
        <w:rPr>
          <w:rFonts w:eastAsia="Times New Roman" w:cs="Times New Roman"/>
          <w:szCs w:val="20"/>
        </w:rPr>
        <w:tab/>
        <w:t>1.</w:t>
      </w:r>
      <w:r w:rsidRPr="001D4A43">
        <w:rPr>
          <w:rFonts w:eastAsia="Times New Roman" w:cs="Times New Roman"/>
          <w:szCs w:val="20"/>
        </w:rPr>
        <w:tab/>
      </w:r>
      <w:r w:rsidRPr="001D4A43">
        <w:rPr>
          <w:rFonts w:eastAsia="Times New Roman" w:cs="Times New Roman"/>
          <w:szCs w:val="23"/>
        </w:rPr>
        <w:t xml:space="preserve">The General Assembly finds that when a student is a victim of dating violence, his or her academic life suffers and his or her safety at school is jeopardized.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sidRPr="001D4A43">
        <w:rPr>
          <w:rFonts w:eastAsia="Times New Roman" w:cs="Times New Roman"/>
          <w:szCs w:val="23"/>
        </w:rPr>
        <w:tab/>
        <w:t>The General Assembly further finds that, subject to General Assembly appropriations, a policy to create an environment free of dating violence must be developed in each school district. It is the intent of the General Assembly to enact legislation requiring each school district to develop a policy for responding to incidents of dating violence. All students have a right to work and study in a safe, supportive environment that is free from harassment, intimidation</w:t>
      </w:r>
      <w:r w:rsidR="001366F7">
        <w:rPr>
          <w:rFonts w:eastAsia="Times New Roman" w:cs="Times New Roman"/>
          <w:szCs w:val="23"/>
        </w:rPr>
        <w:t>,</w:t>
      </w:r>
      <w:r w:rsidRPr="001D4A43">
        <w:rPr>
          <w:rFonts w:eastAsia="Times New Roman" w:cs="Times New Roman"/>
          <w:szCs w:val="23"/>
        </w:rPr>
        <w:t xml:space="preserve"> and violence.</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Pr>
          <w:rFonts w:eastAsia="Times New Roman" w:cs="Times New Roman"/>
          <w:szCs w:val="23"/>
        </w:rPr>
        <w:tab/>
      </w:r>
      <w:r w:rsidRPr="001D4A43">
        <w:rPr>
          <w:rFonts w:eastAsia="Times New Roman" w:cs="Times New Roman"/>
          <w:szCs w:val="23"/>
        </w:rPr>
        <w:t>SECTION</w:t>
      </w:r>
      <w:r w:rsidRPr="001D4A43">
        <w:rPr>
          <w:rFonts w:eastAsia="Times New Roman" w:cs="Times New Roman"/>
          <w:szCs w:val="23"/>
        </w:rPr>
        <w:tab/>
        <w:t>2.</w:t>
      </w:r>
      <w:r w:rsidRPr="001D4A43">
        <w:rPr>
          <w:rFonts w:eastAsia="Times New Roman" w:cs="Times New Roman"/>
          <w:szCs w:val="23"/>
        </w:rPr>
        <w:tab/>
        <w:t>Article 5, Chapter 1, Title 59 of the 1976 Code is amended by adding:</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eastAsia="Times New Roman" w:cs="Times New Roman"/>
          <w:szCs w:val="23"/>
        </w:rPr>
        <w:tab/>
        <w:t>“Section 59</w:t>
      </w:r>
      <w:r w:rsidRPr="001D4A43">
        <w:rPr>
          <w:rFonts w:eastAsia="Times New Roman" w:cs="Times New Roman"/>
          <w:szCs w:val="23"/>
        </w:rPr>
        <w:noBreakHyphen/>
        <w:t>1</w:t>
      </w:r>
      <w:r w:rsidRPr="001D4A43">
        <w:rPr>
          <w:rFonts w:eastAsia="Times New Roman" w:cs="Times New Roman"/>
          <w:szCs w:val="23"/>
        </w:rPr>
        <w:noBreakHyphen/>
        <w:t xml:space="preserve">490. </w:t>
      </w:r>
      <w:r w:rsidRPr="001D4A43">
        <w:rPr>
          <w:rFonts w:eastAsia="Times New Roman" w:cs="Times New Roman"/>
          <w:szCs w:val="23"/>
        </w:rPr>
        <w:tab/>
        <w:t>(A)</w:t>
      </w:r>
      <w:r w:rsidR="00B607AF">
        <w:rPr>
          <w:rFonts w:eastAsia="Times New Roman" w:cs="Times New Roman"/>
          <w:szCs w:val="23"/>
        </w:rPr>
        <w:tab/>
      </w:r>
      <w:r w:rsidRPr="001D4A43">
        <w:rPr>
          <w:rFonts w:cs="Times New Roman"/>
          <w:szCs w:val="23"/>
        </w:rPr>
        <w:t xml:space="preserve">As used in this section: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(1)</w:t>
      </w:r>
      <w:r w:rsidRPr="001D4A43">
        <w:rPr>
          <w:rFonts w:cs="Times New Roman"/>
          <w:szCs w:val="23"/>
        </w:rPr>
        <w:tab/>
        <w:t>‘Dating violence’ means a pattern of behavior where one person uses threats of, or actually uses, physical, sexual, verbal</w:t>
      </w:r>
      <w:r w:rsidR="001366F7">
        <w:rPr>
          <w:rFonts w:cs="Times New Roman"/>
          <w:szCs w:val="23"/>
        </w:rPr>
        <w:t>,</w:t>
      </w:r>
      <w:r w:rsidRPr="001D4A43">
        <w:rPr>
          <w:rFonts w:cs="Times New Roman"/>
          <w:szCs w:val="23"/>
        </w:rPr>
        <w:t xml:space="preserve"> or emotional abuse to control his or her dating partner.</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(2)</w:t>
      </w:r>
      <w:r w:rsidRPr="001D4A43">
        <w:rPr>
          <w:rFonts w:cs="Times New Roman"/>
          <w:szCs w:val="23"/>
        </w:rPr>
        <w:tab/>
        <w:t xml:space="preserve">‘Dating partner’ means a person, regardless of gender, involved in an intimate relationship with another primarily </w:t>
      </w:r>
      <w:r w:rsidRPr="001D4A43">
        <w:rPr>
          <w:rFonts w:cs="Times New Roman"/>
          <w:szCs w:val="23"/>
        </w:rPr>
        <w:lastRenderedPageBreak/>
        <w:t xml:space="preserve">characterized by the expectation of affectionate involvement whether casual, serious, or long term.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(3)</w:t>
      </w:r>
      <w:r w:rsidRPr="001D4A43">
        <w:rPr>
          <w:rFonts w:cs="Times New Roman"/>
          <w:szCs w:val="23"/>
        </w:rPr>
        <w:tab/>
        <w:t>‘At school’ means in a classroom, on or immediately adjacent to school premises, on a school bus or other school</w:t>
      </w:r>
      <w:r w:rsidRPr="001D4A43">
        <w:rPr>
          <w:rFonts w:cs="Times New Roman"/>
          <w:szCs w:val="23"/>
        </w:rPr>
        <w:noBreakHyphen/>
        <w:t xml:space="preserve">related vehicle, at an official school bus stop, or at a school sponsored activity or event whether or not it is on school grounds.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t>(B)</w:t>
      </w:r>
      <w:r w:rsidRPr="001D4A43">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developed on or before July 1, 2009.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t>(C)(1)</w:t>
      </w:r>
      <w:r w:rsidRPr="001D4A43">
        <w:rPr>
          <w:rFonts w:cs="Times New Roman"/>
          <w:szCs w:val="23"/>
        </w:rPr>
        <w:tab/>
        <w:t>Each school district shall develop a specific policy to address incidents of dating violence involving students at school by the 2010</w:t>
      </w:r>
      <w:r w:rsidRPr="001D4A43">
        <w:rPr>
          <w:rFonts w:cs="Times New Roman"/>
          <w:szCs w:val="23"/>
        </w:rPr>
        <w:noBreakHyphen/>
        <w:t xml:space="preserve">2011 school year. Upon implementation of the policy, each school district shall verify compliance with the department on an annual basis.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(2)</w:t>
      </w:r>
      <w:r w:rsidRPr="001D4A43">
        <w:rPr>
          <w:rFonts w:cs="Times New Roman"/>
          <w:szCs w:val="23"/>
        </w:rPr>
        <w:tab/>
        <w:t>This policy must include, but is not limited to, a statement that dating violence will not be tolerated, dating violence reporting procedures, guidelines to responding to at school incidents of dating violence, and discipline procedures specific to these incidents.”</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1D4A43">
        <w:rPr>
          <w:rFonts w:eastAsia="Times New Roman" w:cs="Times New Roman"/>
          <w:szCs w:val="20"/>
        </w:rPr>
        <w:t>SECTION</w:t>
      </w:r>
      <w:r w:rsidRPr="001D4A43">
        <w:rPr>
          <w:rFonts w:eastAsia="Times New Roman" w:cs="Times New Roman"/>
          <w:szCs w:val="20"/>
        </w:rPr>
        <w:tab/>
        <w:t>4.</w:t>
      </w:r>
      <w:r w:rsidRPr="001D4A43">
        <w:rPr>
          <w:rFonts w:eastAsia="Times New Roman" w:cs="Times New Roman"/>
          <w:szCs w:val="20"/>
        </w:rPr>
        <w:tab/>
        <w:t>This act takes effect upon approval by the Governor.</w:t>
      </w:r>
      <w:r w:rsidRPr="001D4A43">
        <w:rPr>
          <w:rFonts w:eastAsia="Times New Roman" w:cs="Times New Roman"/>
          <w:szCs w:val="20"/>
        </w:rPr>
        <w:tab/>
      </w:r>
      <w:r w:rsidRPr="001D4A43">
        <w:rPr>
          <w:rFonts w:eastAsia="Times New Roman" w:cs="Times New Roman"/>
          <w:szCs w:val="20"/>
        </w:rPr>
        <w:tab/>
        <w:t>/</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Renumber sections to conform.</w:t>
      </w:r>
    </w:p>
    <w:p w:rsidR="00A67C26"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Amend title to conform.</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E">
        <w:t>ESTIMATED FISCAL IMPACT ON GENERAL FUND EXPENDITURES:</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509CE">
        <w:t>A Cost to the General Fund of the State (See Below)</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E">
        <w:t>ESTIMATED FISCAL IMPACT ON FEDERAL &amp; OTHER FUND EXPENDITURES:</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509CE">
        <w:t xml:space="preserve">A Cost </w:t>
      </w:r>
      <w:r>
        <w:t>of Federal and/or Other</w:t>
      </w:r>
      <w:r w:rsidRPr="003509CE">
        <w:t xml:space="preserve"> Fund</w:t>
      </w:r>
      <w:r>
        <w:t>s</w:t>
      </w:r>
      <w:r w:rsidRPr="003509CE">
        <w:t xml:space="preserve"> (See Below)</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09CE">
        <w:rPr>
          <w:b/>
        </w:rPr>
        <w:t>EXPLANATION OF IMPACT:</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i"/>
      <w:bookmarkEnd w:id="2"/>
      <w:r>
        <w:tab/>
      </w:r>
      <w:r w:rsidRPr="003509CE">
        <w:t xml:space="preserve">The State Department of Education estimates the recurring fiscal impact to be $17,000. These costs consist of model development, policy dissemination, monitoring, and compliance verification. There would be no fiscal impact on </w:t>
      </w:r>
      <w:r>
        <w:t>f</w:t>
      </w:r>
      <w:r w:rsidRPr="003509CE">
        <w:t xml:space="preserve">ederal and/or </w:t>
      </w:r>
      <w:r>
        <w:t>o</w:t>
      </w:r>
      <w:r w:rsidRPr="003509CE">
        <w:t xml:space="preserve">ther funds. </w:t>
      </w:r>
    </w:p>
    <w:p w:rsidR="00A67C26" w:rsidRPr="003509CE" w:rsidRDefault="00A67C26" w:rsidP="00A67C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09CE">
        <w:rPr>
          <w:b/>
        </w:rPr>
        <w:lastRenderedPageBreak/>
        <w:t>LOCAL GOVERNMENT IMPACT:</w:t>
      </w:r>
    </w:p>
    <w:p w:rsidR="00A67C26" w:rsidRPr="003509CE" w:rsidRDefault="00A67C26" w:rsidP="00A67C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fist"/>
      <w:bookmarkEnd w:id="3"/>
      <w:r>
        <w:tab/>
      </w:r>
      <w:r w:rsidRPr="003509CE">
        <w:t xml:space="preserve">The </w:t>
      </w:r>
      <w:r>
        <w:t>D</w:t>
      </w:r>
      <w:r w:rsidRPr="003509CE">
        <w:t xml:space="preserve">epartment </w:t>
      </w:r>
      <w:r>
        <w:t xml:space="preserve">of Education </w:t>
      </w:r>
      <w:r w:rsidRPr="003509CE">
        <w:t xml:space="preserve">estimates the cost to local school districts to be minimal assuming required dating violence training for district staff is integrated with other ongoing staff training and that student and parent training is conducted via the district’s website.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67C26" w:rsidRDefault="00A67C26" w:rsidP="00A67C26">
      <w:pPr>
        <w:tabs>
          <w:tab w:val="left" w:pos="3024"/>
        </w:tabs>
        <w:suppressAutoHyphens/>
        <w:rPr>
          <w:rFonts w:eastAsia="Times New Roman" w:cs="Times New Roman"/>
          <w:szCs w:val="20"/>
        </w:rPr>
      </w:pPr>
      <w:r>
        <w:rPr>
          <w:rFonts w:eastAsia="Times New Roman" w:cs="Times New Roman"/>
          <w:szCs w:val="20"/>
        </w:rPr>
        <w:tab/>
        <w:t>Harry Bell</w:t>
      </w:r>
    </w:p>
    <w:p w:rsidR="00A67C26" w:rsidRPr="00A67C26" w:rsidRDefault="00A67C26" w:rsidP="00A67C26">
      <w:pPr>
        <w:tabs>
          <w:tab w:val="left" w:pos="3024"/>
        </w:tabs>
        <w:suppressAutoHyphens/>
        <w:rPr>
          <w:rFonts w:eastAsia="Times New Roman" w:cs="Times New Roman"/>
          <w:szCs w:val="20"/>
        </w:rPr>
      </w:pPr>
      <w:r>
        <w:rPr>
          <w:rFonts w:eastAsia="Times New Roman" w:cs="Times New Roman"/>
          <w:szCs w:val="20"/>
        </w:rPr>
        <w:tab/>
        <w:t>Office of State Budget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C26" w:rsidSect="00A67C2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11AE" w:rsidRDefault="002611A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ab/>
        <w:t xml:space="preserve">The General Assembly further finds that a policy to create an environment free of dating violence must be a present in each </w:t>
      </w:r>
      <w:r>
        <w:rPr>
          <w:rFonts w:eastAsia="Times New Roman" w:cs="Times New Roman"/>
          <w:szCs w:val="23"/>
        </w:rPr>
        <w:lastRenderedPageBreak/>
        <w:t>school district. It is the intent of the General Assembly to enact legislation requiring each school district to establish a policy for responding to incidents of dating violence and to provide dating violence education to students, parents, staff, faculty and administrators, in order to prevent dating violence and to  address incidents involving dating violence. All students have a right to work and study in a safe, supportive environment that is free from harassment, intimidation and violence.</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 or emotional abuse to control his or her dating partner.</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issued on or before July 1, 2009.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establish a specific policy to address incidents of dating violence involving students at school by the 2010</w:t>
      </w:r>
      <w:r>
        <w:rPr>
          <w:rFonts w:cs="Times New Roman"/>
          <w:szCs w:val="23"/>
        </w:rPr>
        <w:noBreakHyphen/>
        <w:t xml:space="preserve">2011 school year. Each school district shall verify compliance with the department on an annual basis.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This policy must include, but is not limited to, a statement that dating violence will not be tolerated, dating violence reporting procedures, guidelines to responding to at school incidents of dating violence, and discipline procedures specific to these incidents.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To ensure notice of the school district’s dating violence policy, the policy must be published in all school and school district handbooks, or other publication on the school’s or school </w:t>
      </w:r>
      <w:r>
        <w:rPr>
          <w:rFonts w:cs="Times New Roman"/>
          <w:szCs w:val="23"/>
        </w:rPr>
        <w:lastRenderedPageBreak/>
        <w:t xml:space="preserve">district’s website that sets forth the rules, procedures, or standards of conduct for students at school.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(D)</w:t>
      </w:r>
      <w:r>
        <w:rPr>
          <w:rFonts w:cs="Times New Roman"/>
          <w:szCs w:val="23"/>
        </w:rPr>
        <w:tab/>
        <w:t xml:space="preserve">Each school district shall provide dating violence training to all administrators, teachers, nurses, guidance counselors, and social workers of students in the sixth through twelfth grade.  Upon the recommendation of the administrator, other staff may be included or may attend the training on a volunteer basis. The dating violence training shall include, but is not limited to, basic principles of dating violence, warnings signs of dating violence, and the school district’s dating violence policy. Thereafter, this training must be provided yearly to newly hired staff.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(E)</w:t>
      </w:r>
      <w:r>
        <w:rPr>
          <w:rFonts w:cs="Times New Roman"/>
          <w:szCs w:val="23"/>
        </w:rPr>
        <w:tab/>
        <w:t xml:space="preserve">Each school district shall inform the students’ parents or legal guardians of the school district’s dating violence policy. Upon request, the school district shall provide the parents or legal guardians with the school district’s dating violence policy and relevant information.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(F)</w:t>
      </w:r>
      <w:r>
        <w:rPr>
          <w:rFonts w:cs="Times New Roman"/>
          <w:szCs w:val="23"/>
        </w:rPr>
        <w:tab/>
        <w:t>This section does not prevent a victim from seeking redress under any other available law, either civil or criminal. This section does not create or alter any tort liability.”</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SECTION</w:t>
      </w:r>
      <w:r>
        <w:rPr>
          <w:rFonts w:cs="Times New Roman"/>
          <w:szCs w:val="23"/>
        </w:rPr>
        <w:tab/>
        <w:t>3.</w:t>
      </w:r>
      <w:r>
        <w:rPr>
          <w:rFonts w:cs="Times New Roman"/>
          <w:szCs w:val="23"/>
        </w:rPr>
        <w:tab/>
        <w:t>Chapter 32, Title 59 of the 1976 Code is amended by adding:</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“Section 59</w:t>
      </w:r>
      <w:r>
        <w:rPr>
          <w:rFonts w:cs="Times New Roman"/>
          <w:szCs w:val="23"/>
        </w:rPr>
        <w:noBreakHyphen/>
        <w:t>32</w:t>
      </w:r>
      <w:r>
        <w:rPr>
          <w:rFonts w:cs="Times New Roman"/>
          <w:szCs w:val="23"/>
        </w:rPr>
        <w:noBreakHyphen/>
        <w:t>100</w:t>
      </w:r>
      <w:r>
        <w:rPr>
          <w:rFonts w:cs="Times New Roman"/>
          <w:bCs/>
          <w:szCs w:val="23"/>
        </w:rPr>
        <w:t>.</w:t>
      </w:r>
      <w:r>
        <w:rPr>
          <w:rFonts w:cs="Times New Roman"/>
          <w:bCs/>
          <w:szCs w:val="23"/>
        </w:rPr>
        <w:tab/>
      </w:r>
      <w:r>
        <w:rPr>
          <w:rFonts w:cs="Times New Roman"/>
          <w:szCs w:val="23"/>
        </w:rPr>
        <w:t>(A)(1)</w:t>
      </w:r>
      <w:r>
        <w:rPr>
          <w:rFonts w:cs="Times New Roman"/>
          <w:szCs w:val="23"/>
        </w:rPr>
        <w:tab/>
        <w:t>Each school district annually shall include dating violence education that is age</w:t>
      </w:r>
      <w:r>
        <w:rPr>
          <w:rFonts w:cs="Times New Roman"/>
          <w:szCs w:val="23"/>
        </w:rPr>
        <w:noBreakHyphen/>
        <w:t>appropriate into the comprehensive health education curriculum for students in grades six through twelve.</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Dating violence education must include, but is not limited to, defining dating violence, recognizing dating violence warning signs, and characteristics of healthy relationships. Additionally, students must be provided with the school district’s dating violence policy as provided for in Section 59</w:t>
      </w:r>
      <w:r>
        <w:rPr>
          <w:rFonts w:cs="Times New Roman"/>
          <w:szCs w:val="23"/>
        </w:rPr>
        <w:noBreakHyphen/>
        <w:t>1</w:t>
      </w:r>
      <w:r>
        <w:rPr>
          <w:rFonts w:cs="Times New Roman"/>
          <w:szCs w:val="23"/>
        </w:rPr>
        <w:noBreakHyphen/>
        <w:t xml:space="preserve">490.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For the purposes of this section: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(a)</w:t>
      </w:r>
      <w:r>
        <w:rPr>
          <w:rFonts w:cs="Times New Roman"/>
          <w:szCs w:val="23"/>
        </w:rPr>
        <w:tab/>
        <w:t xml:space="preserve">‘Dating violence’ means a pattern of behavior where one person uses threats of, or actually uses, physical, sexual, verbal or emotional abuse to control his or her dating partner.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(b)</w:t>
      </w:r>
      <w:r>
        <w:rPr>
          <w:rFonts w:cs="Times New Roman"/>
          <w:szCs w:val="23"/>
        </w:rPr>
        <w:tab/>
        <w:t xml:space="preserve">‘Dating partner’ means a person involved in a intimate association with another primarily characterized by the expectation of affectionate involvement whether casual, serious, or long term.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(c)</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lastRenderedPageBreak/>
        <w:tab/>
      </w:r>
      <w:r>
        <w:rPr>
          <w:rFonts w:cs="Times New Roman"/>
          <w:szCs w:val="23"/>
        </w:rPr>
        <w:tab/>
        <w:t>(4)</w:t>
      </w:r>
      <w:r>
        <w:rPr>
          <w:rFonts w:cs="Times New Roman"/>
          <w:szCs w:val="23"/>
        </w:rPr>
        <w:tab/>
        <w:t xml:space="preserve">To assist school districts in developing a dating violence education program, the State Department of Education shall review and approve the grade level topics relating to dating violence and healthy relationships.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szCs w:val="23"/>
        </w:rPr>
        <w:tab/>
        <w:t>(B)</w:t>
      </w:r>
      <w:r>
        <w:rPr>
          <w:rFonts w:cs="Times New Roman"/>
          <w:szCs w:val="23"/>
        </w:rPr>
        <w:tab/>
        <w:t>Upon written request to the school principal, a parent or legal guardian of a student must be permitted to examine the dating violence education program instruction materials at the school in which his or her child is enrolled.”</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2611AE" w:rsidRDefault="00A67C26" w:rsidP="0016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611AE" w:rsidSect="00A67C2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1AE" w:rsidRDefault="002611AE" w:rsidP="002611AE">
      <w:r>
        <w:separator/>
      </w:r>
    </w:p>
  </w:endnote>
  <w:endnote w:type="continuationSeparator" w:id="1">
    <w:p w:rsidR="002611AE" w:rsidRDefault="002611AE" w:rsidP="00261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D370C-FACE-41DC-98C3-D6A5C5CE69D3}"/>
    <w:embedBold r:id="rId2" w:fontKey="{693F17A6-2E7F-4826-AF5A-BC674494B6C1}"/>
    <w:embedItalic r:id="rId3" w:fontKey="{8F34F515-D986-4FC4-8ADE-BB51119C6E31}"/>
  </w:font>
  <w:font w:name="Calibri">
    <w:panose1 w:val="020F0502020204030204"/>
    <w:charset w:val="00"/>
    <w:family w:val="swiss"/>
    <w:pitch w:val="variable"/>
    <w:sig w:usb0="A00002EF" w:usb1="4000207B" w:usb2="00000000" w:usb3="00000000" w:csb0="0000009F" w:csb1="00000000"/>
    <w:embedRegular r:id="rId4" w:fontKey="{80279A40-09AC-43A4-AE56-98FC38771D78}"/>
    <w:embedBold r:id="rId5" w:fontKey="{2D5AF354-3A3E-4EF0-B7E6-3832AAB26214}"/>
  </w:font>
  <w:font w:name="Tahoma">
    <w:panose1 w:val="020B0604030504040204"/>
    <w:charset w:val="00"/>
    <w:family w:val="swiss"/>
    <w:pitch w:val="variable"/>
    <w:sig w:usb0="61002A87" w:usb1="80000000" w:usb2="00000008" w:usb3="00000000" w:csb0="000101FF" w:csb1="00000000"/>
    <w:embedRegular r:id="rId6" w:fontKey="{90D63211-4CCA-4919-883B-1BBBB5700A8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1C0FBFA-DA8A-40CD-87E7-793B6EBA5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AE" w:rsidRDefault="00A67C26">
    <w:pPr>
      <w:pStyle w:val="Footer"/>
      <w:tabs>
        <w:tab w:val="clear" w:pos="4680"/>
        <w:tab w:val="clear" w:pos="9360"/>
        <w:tab w:val="center" w:pos="2995"/>
      </w:tabs>
      <w:spacing w:before="120"/>
    </w:pPr>
    <w:r>
      <w:t>[266-</w:t>
    </w:r>
    <w:fldSimple w:instr=" PAGE  \* MERGEFORMAT ">
      <w:r w:rsidR="0016408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26" w:rsidRDefault="00A67C26">
    <w:pPr>
      <w:pStyle w:val="Footer"/>
      <w:tabs>
        <w:tab w:val="clear" w:pos="4680"/>
        <w:tab w:val="clear" w:pos="9360"/>
        <w:tab w:val="center" w:pos="2995"/>
      </w:tabs>
      <w:spacing w:before="120"/>
    </w:pPr>
    <w:r>
      <w:t>[266]</w:t>
    </w:r>
    <w:r>
      <w:tab/>
    </w:r>
    <w:fldSimple w:instr=" PAGE  \* MERGEFORMAT ">
      <w:r w:rsidR="001640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1AE" w:rsidRDefault="002611AE" w:rsidP="002611AE">
      <w:r>
        <w:separator/>
      </w:r>
    </w:p>
  </w:footnote>
  <w:footnote w:type="continuationSeparator" w:id="1">
    <w:p w:rsidR="002611AE" w:rsidRDefault="002611AE" w:rsidP="002611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611AE"/>
    <w:rsid w:val="001366F7"/>
    <w:rsid w:val="0016408C"/>
    <w:rsid w:val="002611AE"/>
    <w:rsid w:val="002F33F6"/>
    <w:rsid w:val="003E3718"/>
    <w:rsid w:val="00A67C26"/>
    <w:rsid w:val="00B4422A"/>
    <w:rsid w:val="00B607AF"/>
    <w:rsid w:val="00DF4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611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611AE"/>
    <w:rPr>
      <w:szCs w:val="21"/>
    </w:rPr>
  </w:style>
  <w:style w:type="character" w:customStyle="1" w:styleId="PlainTextChar">
    <w:name w:val="Plain Text Char"/>
    <w:basedOn w:val="DefaultParagraphFont"/>
    <w:link w:val="PlainText"/>
    <w:uiPriority w:val="99"/>
    <w:rsid w:val="002611AE"/>
    <w:rPr>
      <w:szCs w:val="21"/>
    </w:rPr>
  </w:style>
  <w:style w:type="paragraph" w:styleId="BodyText">
    <w:name w:val="Body Text"/>
    <w:basedOn w:val="Normal"/>
    <w:link w:val="BodyTextChar"/>
    <w:uiPriority w:val="99"/>
    <w:locked/>
    <w:rsid w:val="002611AE"/>
  </w:style>
  <w:style w:type="character" w:customStyle="1" w:styleId="BodyTextChar">
    <w:name w:val="Body Text Char"/>
    <w:basedOn w:val="DefaultParagraphFont"/>
    <w:link w:val="BodyText"/>
    <w:uiPriority w:val="99"/>
    <w:rsid w:val="002611AE"/>
  </w:style>
  <w:style w:type="paragraph" w:styleId="BalloonText">
    <w:name w:val="Balloon Text"/>
    <w:next w:val="Normal"/>
    <w:link w:val="BalloonTextChar"/>
    <w:uiPriority w:val="99"/>
    <w:unhideWhenUsed/>
    <w:rsid w:val="002611AE"/>
    <w:rPr>
      <w:rFonts w:cs="Tahoma"/>
      <w:szCs w:val="16"/>
    </w:rPr>
  </w:style>
  <w:style w:type="character" w:customStyle="1" w:styleId="BalloonTextChar">
    <w:name w:val="Balloon Text Char"/>
    <w:basedOn w:val="DefaultParagraphFont"/>
    <w:link w:val="BalloonText"/>
    <w:uiPriority w:val="99"/>
    <w:rsid w:val="002611AE"/>
    <w:rPr>
      <w:rFonts w:cs="Tahoma"/>
      <w:szCs w:val="16"/>
    </w:rPr>
  </w:style>
  <w:style w:type="paragraph" w:styleId="NormalWeb">
    <w:name w:val="Normal (Web)"/>
    <w:basedOn w:val="Normal"/>
    <w:next w:val="Normal"/>
    <w:semiHidden/>
    <w:locked/>
    <w:rsid w:val="002611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611A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611AE"/>
    <w:rPr>
      <w:rFonts w:eastAsia="Times New Roman" w:cs="Times New Roman"/>
      <w:szCs w:val="20"/>
    </w:rPr>
  </w:style>
  <w:style w:type="character" w:styleId="LineNumber">
    <w:name w:val="line number"/>
    <w:basedOn w:val="DefaultParagraphFont"/>
    <w:uiPriority w:val="99"/>
    <w:semiHidden/>
    <w:unhideWhenUsed/>
    <w:locked/>
    <w:rsid w:val="00A67C26"/>
  </w:style>
  <w:style w:type="paragraph" w:styleId="Header">
    <w:name w:val="header"/>
    <w:basedOn w:val="Normal"/>
    <w:link w:val="HeaderChar"/>
    <w:uiPriority w:val="99"/>
    <w:semiHidden/>
    <w:unhideWhenUsed/>
    <w:locked/>
    <w:rsid w:val="00A67C26"/>
    <w:pPr>
      <w:tabs>
        <w:tab w:val="center" w:pos="4680"/>
        <w:tab w:val="right" w:pos="9360"/>
      </w:tabs>
    </w:pPr>
  </w:style>
  <w:style w:type="character" w:customStyle="1" w:styleId="HeaderChar">
    <w:name w:val="Header Char"/>
    <w:basedOn w:val="DefaultParagraphFont"/>
    <w:link w:val="Header"/>
    <w:uiPriority w:val="99"/>
    <w:semiHidden/>
    <w:rsid w:val="00A67C2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1596</Words>
  <Characters>9101</Characters>
  <Application>Microsoft Office Word</Application>
  <DocSecurity>0</DocSecurity>
  <Lines>75</Lines>
  <Paragraphs>21</Paragraphs>
  <ScaleCrop>false</ScaleCrop>
  <Company>Project Management</Company>
  <LinksUpToDate>false</LinksUpToDate>
  <CharactersWithSpaces>10676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2009-03-16T13:49:00Z</dcterms:created>
  <dcterms:modified xsi:type="dcterms:W3CDTF">2009-03-16T13:49:00Z</dcterms:modified>
</cp:coreProperties>
</file>