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CHAPTER 15, TITLE 29 OF THE 1976 CODE OF LAWS, BY ADDING SECTION 29</w:t>
      </w:r>
      <w:r>
        <w:rPr>
          <w:rFonts w:eastAsia="Times New Roman" w:cs="Times New Roman"/>
        </w:rPr>
        <w:noBreakHyphen/>
        <w:t>15</w:t>
      </w:r>
      <w:r>
        <w:rPr>
          <w:rFonts w:eastAsia="Times New Roman" w:cs="Times New Roman"/>
        </w:rPr>
        <w:noBreakHyphen/>
        <w:t>15, TO PROVIDE THAT CERTAIN LIENS OBTAINED BY A HOMEOWNERS’ ASSOCIATION AGAINST REAL PROPERTY ARE SUPERIOR TO CLAIMS OF OTHER CREDITORS.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Chapter 15, Title 29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“Section 29</w:t>
      </w:r>
      <w:r>
        <w:rPr>
          <w:rFonts w:eastAsia="Times New Roman" w:cs="Times New Roman"/>
          <w:color w:val="000000" w:themeColor="text1"/>
          <w:u w:color="000000" w:themeColor="text1"/>
        </w:rPr>
        <w:noBreakHyphen/>
        <w:t>15</w:t>
      </w:r>
      <w:r>
        <w:rPr>
          <w:rFonts w:eastAsia="Times New Roman" w:cs="Times New Roman"/>
          <w:color w:val="000000" w:themeColor="text1"/>
          <w:u w:color="000000" w:themeColor="text1"/>
        </w:rPr>
        <w:noBreakHyphen/>
        <w:t>15.</w:t>
      </w:r>
      <w:r>
        <w:rPr>
          <w:rFonts w:eastAsia="Times New Roman" w:cs="Times New Roman"/>
          <w:color w:val="000000" w:themeColor="text1"/>
          <w:u w:color="000000" w:themeColor="text1"/>
        </w:rPr>
        <w:tab/>
        <w:t>(A)</w:t>
      </w:r>
      <w:r>
        <w:rPr>
          <w:rFonts w:eastAsia="Times New Roman" w:cs="Times New Roman"/>
          <w:color w:val="000000" w:themeColor="text1"/>
          <w:u w:color="000000" w:themeColor="text1"/>
        </w:rPr>
        <w:tab/>
        <w:t>A judgment lien obtained by a homeowners’ association against real property subject to the association’s covenants or other governing agreement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 xml:space="preserve">superior to all claims of creditors against the property if the judgment lien arose from an unsatisfied assessment or other obligation of the property owner to the association under the association’s covenants;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t>(2)</w:t>
      </w:r>
      <w:r>
        <w:rPr>
          <w:rFonts w:eastAsia="Times New Roman" w:cs="Times New Roman"/>
          <w:color w:val="000000" w:themeColor="text1"/>
          <w:u w:color="000000" w:themeColor="text1"/>
        </w:rPr>
        <w:tab/>
        <w:t>appurtenant to the subject real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(B)</w:t>
      </w:r>
      <w:r>
        <w:rPr>
          <w:rFonts w:eastAsia="Times New Roman" w:cs="Times New Roman"/>
          <w:color w:val="000000" w:themeColor="text1"/>
          <w:u w:color="000000" w:themeColor="text1"/>
        </w:rPr>
        <w:tab/>
        <w:t>Proceeds from the property’s sale first must be used to satisfy the association’s judgment lien.  Remaining funds may be used to satisfy other liens against the property based on priority.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(C)</w:t>
      </w:r>
      <w:r>
        <w:rPr>
          <w:rFonts w:eastAsia="Times New Roman" w:cs="Times New Roman"/>
          <w:color w:val="000000" w:themeColor="text1"/>
          <w:u w:color="000000" w:themeColor="text1"/>
        </w:rPr>
        <w:tab/>
        <w:t>A judgment lien under this section is enforceable when recorded in the county where the property is situated.”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6A7554-E710-4A3B-BB9E-D4C2AD0F1B06}"/>
    <w:embedBold r:id="rId2" w:fontKey="{F89E020D-46A5-4F3F-A872-F6E2FBA31CEA}"/>
  </w:font>
  <w:font w:name="Calibri">
    <w:panose1 w:val="020F0502020204030204"/>
    <w:charset w:val="00"/>
    <w:family w:val="swiss"/>
    <w:pitch w:val="variable"/>
    <w:sig w:usb0="A00002EF" w:usb1="4000207B" w:usb2="00000000" w:usb3="00000000" w:csb0="0000009F" w:csb1="00000000"/>
    <w:embedRegular r:id="rId3" w:fontKey="{02E01478-7E2C-4B79-9496-ED9BA02D11A8}"/>
  </w:font>
  <w:font w:name="Tahoma">
    <w:panose1 w:val="020B0604030504040204"/>
    <w:charset w:val="00"/>
    <w:family w:val="swiss"/>
    <w:pitch w:val="variable"/>
    <w:sig w:usb0="61002A87" w:usb1="80000000" w:usb2="00000008" w:usb3="00000000" w:csb0="000101FF" w:csb1="00000000"/>
    <w:embedRegular r:id="rId4" w:fontKey="{851D0E74-2BB3-459D-A899-BF195CCCEAD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2864EC40-6020-4BF7-8838-E0B7C54FCA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[277]</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179</Words>
  <Characters>1026</Characters>
  <Application>Microsoft Office Word</Application>
  <DocSecurity>0</DocSecurity>
  <Lines>8</Lines>
  <Paragraphs>2</Paragraphs>
  <ScaleCrop>false</ScaleCrop>
  <Company>Project Management</Company>
  <LinksUpToDate>false</LinksUpToDate>
  <CharactersWithSpaces>1203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2009-01-15T16:31:00Z</dcterms:created>
  <dcterms:modified xsi:type="dcterms:W3CDTF">2009-01-15T16:31:00Z</dcterms:modified>
</cp:coreProperties>
</file>