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JOINT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rPr>
          <w:rFonts w:eastAsia="Times New Roman" w:cs="Times New Roman"/>
          <w:szCs w:val="20"/>
        </w:rPr>
      </w:pPr>
      <w:bookmarkStart w:id="2" w:name="titletop"/>
      <w:bookmarkEnd w:id="2"/>
      <w:r>
        <w:rPr>
          <w:rFonts w:eastAsia="Times New Roman" w:cs="Times New Roman"/>
          <w:szCs w:val="20"/>
        </w:rPr>
        <w:t>TO ALLOW THE GOVERNING BODY OF A COUNTY BY RESOLUTION ADOPTED BY MAJORITY VOTE TO ALLOW COUNTY OFFICIALS CHARGED WITH COLLECTING TAXES ON REAL PROPERTY FOR PROPERTY TAX YEARS 2008 AND 2009 TO WAIVE OR REDUCE THE PENALTIES FOR LATE PAYMENTS, AND TO PROVIDE THAT THE RESOLUTION MUST PROVIDE THE TERMS AND CONDITIONS UNDER WHICH THE WAIVER OR REDUCTION APPLIES.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1.</w:t>
      </w:r>
      <w:r>
        <w:rPr>
          <w:rFonts w:eastAsia="Times New Roman" w:cs="Times New Roman"/>
          <w:szCs w:val="20"/>
        </w:rPr>
        <w:tab/>
        <w:t>Notwithstanding the provisions of Section 12</w:t>
      </w:r>
      <w:r>
        <w:rPr>
          <w:rFonts w:eastAsia="Times New Roman" w:cs="Times New Roman"/>
          <w:szCs w:val="20"/>
        </w:rPr>
        <w:noBreakHyphen/>
        <w:t>45</w:t>
      </w:r>
      <w:r>
        <w:rPr>
          <w:rFonts w:eastAsia="Times New Roman" w:cs="Times New Roman"/>
          <w:szCs w:val="20"/>
        </w:rPr>
        <w:noBreakHyphen/>
        <w:t>180 of the 1976 Code, imposing penalties for late payment of property taxes on real property, the governing body of a county by resolution adopted by majority vote may allow county officials charged with the collection of property taxes to waive or reduce the late payment penalties otherwise applicable for taxes due on real property for property tax years 2008 and 2009.  The resolution must specify those terms and conditions under which the penalties may be waived or reduced.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SECTION</w:t>
      </w:r>
      <w:r>
        <w:rPr>
          <w:rFonts w:eastAsia="Times New Roman" w:cs="Times New Roman"/>
          <w:szCs w:val="20"/>
        </w:rPr>
        <w:tab/>
        <w:t>2.</w:t>
      </w:r>
      <w:r>
        <w:rPr>
          <w:rFonts w:eastAsia="Times New Roman" w:cs="Times New Roman"/>
          <w:szCs w:val="20"/>
        </w:rPr>
        <w:tab/>
        <w:t>This joint resolution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84DD006-EDB6-4CC6-BF1C-F16C2B745AB0}"/>
    <w:embedBold r:id="rId2" w:fontKey="{2B277E41-3E39-4F01-8529-E76BCDE6FD66}"/>
  </w:font>
  <w:font w:name="Calibri">
    <w:panose1 w:val="020F0502020204030204"/>
    <w:charset w:val="00"/>
    <w:family w:val="swiss"/>
    <w:pitch w:val="variable"/>
    <w:sig w:usb0="A00002EF" w:usb1="4000207B" w:usb2="00000000" w:usb3="00000000" w:csb0="0000009F" w:csb1="00000000"/>
    <w:embedRegular r:id="rId3" w:fontKey="{3F0DEDD4-E69E-4C3D-AE7C-941DEF570C7A}"/>
  </w:font>
  <w:font w:name="Tahoma">
    <w:panose1 w:val="020B0604030504040204"/>
    <w:charset w:val="00"/>
    <w:family w:val="swiss"/>
    <w:pitch w:val="variable"/>
    <w:sig w:usb0="61002A87" w:usb1="80000000" w:usb2="00000008" w:usb3="00000000" w:csb0="000101FF" w:csb1="00000000"/>
    <w:embedRegular r:id="rId4" w:fontKey="{ECAFF1C9-97B8-42EE-B988-68C70BCD0184}"/>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5" w:fontKey="{7E92CDF1-E74B-47FF-84FB-8C83294DB0B4}"/>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[278]</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isplayBackgroundShape/>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Pr>
      <w:rFonts w:eastAsia="Times New Roman" w:cs="Times New Roman"/>
      <w:szCs w:val="20"/>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162</Words>
  <Characters>926</Characters>
  <Application>Microsoft Office Word</Application>
  <DocSecurity>0</DocSecurity>
  <Lines>7</Lines>
  <Paragraphs>2</Paragraphs>
  <ScaleCrop>false</ScaleCrop>
  <Company>Project Management</Company>
  <LinksUpToDate>false</LinksUpToDate>
  <CharactersWithSpaces>1086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2009-01-15T16:31:00Z</dcterms:created>
  <dcterms:modified xsi:type="dcterms:W3CDTF">2009-01-15T16:31:00Z</dcterms:modified>
</cp:coreProperties>
</file>